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Data and Cyber Handbook - Bahrain</w:t>
      </w:r>
      <w:r w:rsidR="00480329"/>
    </w:p>
    <w:p w:rsidRPr="00BC7873" w:rsidR="00BC7873" w:rsidP="00D354EF" w:rsidRDefault="00051AB4" w14:paraId="2476CC56" w14:textId="2FB25FA9">
      <w:pPr>
        <w:pStyle w:val="Title"/>
      </w:pPr>
      <w:r w:rsidRPr="00BC7873">
        <w:t>DPOs and Notification Requirements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 concept of data protection officer (DPO) recognized in the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Yes</w:t>
              </w:r>
            </w:p>
            <w:p>
              <w:pPr>
                <w:pStyle w:val="BodyText"/>
              </w:pPr>
              <w:r>
                <w:t xml:space="preserve">The PDPL establishes the concept of Data Protection Guardians, which are parties accredited by and registered with the PDPA that must be appointed by controllers in certain circumstances. These may be internal (employed) or external (third party) persons meeting specific criteria set out in Executive Order No. 46 of 2022 and enrolled on the register per Executive Order No. 47 of 2022.</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circumstances in which it is mandatory to appoint a DPO or similar position?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Yes</w:t>
              </w:r>
            </w:p>
            <w:p>
              <w:pPr>
                <w:pStyle w:val="BodyText"/>
              </w:pPr>
              <w:r>
                <w:t xml:space="preserve">If yes, under what circumstances?</w:t>
              </w:r>
            </w:p>
            <w:p>
              <w:pPr>
                <w:pStyle w:val="BodyText"/>
              </w:pPr>
              <w:r>
                <w:t xml:space="preserve">The PDPA may determine specific categories of controller that are required to appoint external or internal data guardians from time to time.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Where a DPO is appointed, does the DPO have to meet specific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Yes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obligations to notify, submit filings to, register with or obtain approval from local data protection authorities to collect and/or process personal data generally?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Last review date: 31 December 2024</w:t>
              </w:r>
            </w:p>
            <w:p>
              <w:pPr>
                <w:pStyle w:val="BodyText"/>
              </w:pPr>
              <w:r>
                <w:t xml:space="preserve">Yes</w:t>
              </w:r>
            </w:p>
            <w:p>
              <w:pPr>
                <w:pStyle w:val="BodyText"/>
              </w:pPr>
              <w:r>
                <w:t xml:space="preserve">In addition to a general notification requirement, the following operations require the prior written authorization of the PDPA:</w:t>
              </w:r>
            </w:p>
            <w:p>
              <w:pPr>
                <w:pStyle w:val="BodyText"/>
              </w:pPr>
              <w:pPr>
                <w:pStyle w:val="ListParagraph"/>
                <w:numPr>
                  <w:ilvl w:val="0"/>
                  <w:numId w:val="9"/>
                </w:numPr>
              </w:pPr>
              <w:r>
                <w:t xml:space="preserve">automatic processing of sensitive personal data;</w:t>
              </w:r>
            </w:p>
            <w:p>
              <w:pPr>
                <w:pStyle w:val="BodyText"/>
              </w:pPr>
              <w:pPr>
                <w:pStyle w:val="ListParagraph"/>
                <w:numPr>
                  <w:ilvl w:val="0"/>
                  <w:numId w:val="9"/>
                </w:numPr>
              </w:pPr>
              <w:r>
                <w:t xml:space="preserve">automatic processing of biometric data necessary for the verification of an individual’s identity;</w:t>
              </w:r>
            </w:p>
            <w:p>
              <w:pPr>
                <w:pStyle w:val="BodyText"/>
              </w:pPr>
              <w:pPr>
                <w:pStyle w:val="ListParagraph"/>
                <w:numPr>
                  <w:ilvl w:val="0"/>
                  <w:numId w:val="9"/>
                </w:numPr>
              </w:pPr>
              <w:r>
                <w:t xml:space="preserve">automatic processing of genetic data , unless carried out by physicians, or a specialist within a licensed medical establishment, and is necessary for preventative medicine, medical diagnosis or the administration of health care or treatment;</w:t>
              </w:r>
            </w:p>
            <w:p>
              <w:pPr>
                <w:pStyle w:val="BodyText"/>
              </w:pPr>
              <w:pPr>
                <w:pStyle w:val="ListParagraph"/>
                <w:numPr>
                  <w:ilvl w:val="0"/>
                  <w:numId w:val="9"/>
                </w:numPr>
              </w:pPr>
              <w:r>
                <w:t xml:space="preserve">automatic processing involving linkage between personal data files, of two or more data controllers, processed for different purposes; and</w:t>
              </w:r>
            </w:p>
            <w:p>
              <w:pPr>
                <w:pStyle w:val="BodyText"/>
              </w:pPr>
              <w:pPr>
                <w:pStyle w:val="ListParagraph"/>
                <w:numPr>
                  <w:ilvl w:val="0"/>
                  <w:numId w:val="9"/>
                </w:numPr>
              </w:pPr>
              <w:r>
                <w:t xml:space="preserve">processing that is done by means of visual recording, and used for surveillance purposes.</w:t>
              </w:r>
            </w:p>
            <w:p>
              <w:pPr>
                <w:pStyle w:val="BodyText"/>
              </w:pPr>
              <w:r>
                <w:t xml:space="preserve">Executive Order No. 44 of 2022 provides further guidance on the rules and procedures for submitting the  various notifications and authorization requests to the PDPA as required by the PDPL.</w:t>
              </w:r>
            </w:p>
          </w:sdtContent>
        </w:sdt>
      </w:sdtContent>
    </w:sdt>
    <w:p>
      <w:pPr>
        <w:pStyle w:val="Disclaimer"/>
      </w:pPr>
      <w:r>
        <w:rPr>
          <w:sz w:val="18"/>
        </w:rPr>
        <w:t xml:space="preserve">Copyright © 2025 Baker &amp; McKenzie. All rights reserved. </w:t>
      </w:r>
      <w:r>
        <w:rPr>
          <w:b/>
          <w:sz w:val="18"/>
        </w:rPr>
        <w:t xml:space="preserve">Ownership:</w:t>
      </w:r>
      <w:r>
        <w:rPr>
          <w:sz w:val="18"/>
        </w:rP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sz w:val="18"/>
        </w:rPr>
        <w:t xml:space="preserve">Non-reliance and exclusion:</w:t>
      </w:r>
      <w:r>
        <w:rPr>
          <w:sz w:val="18"/>
        </w:rP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sz w:val="18"/>
        </w:rPr>
        <w:t xml:space="preserve">Attorney Advertising:</w:t>
      </w:r>
      <w:r>
        <w:rPr>
          <w:sz w:val="18"/>
        </w:rPr>
        <w:t xml:space="preserve"> This Content may qualify as “Attorney Advertising” requiring notice in some jurisdictions. To the extent that this Content may qualify as Attorney Advertising, PRIOR RESULTS DO NOT GUARANTEE A SIMILAR OUTCOME. </w:t>
      </w:r>
      <w:r>
        <w:rPr>
          <w:b/>
          <w:sz w:val="18"/>
        </w:rPr>
        <w:t xml:space="preserve">Reproduction:</w:t>
      </w:r>
      <w:r>
        <w:rPr>
          <w:sz w:val="18"/>
        </w:rP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https://resourcehub.bakermckenzie.com/en/resources/global-data-and-cyber-handbook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