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Bahrain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Kingdom of Bahrain issued its first national personal data protection law on 19 July 2019 with a view to establishing the rights and freedoms of individuals and their personal data. The Law came into effect on 1 August 2019 and the Ministry of Justice, Islamic Affairs and Waqf was designated by Royal Decree in 2019 to assume the duties of the Personal Data Protection Authority. In 2022, the Ministry issued ten executive orders relating to various aspects of the Law and its implementation.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40"/>
                    </w:numPr>
                  </w:pPr>
                  <w:r>
                    <w:t xml:space="preserve">omnibus – all personal data</w:t>
                  </w:r>
                </w:p>
                <w:p>
                  <w:pPr>
                    <w:pStyle w:val="BodyText"/>
                  </w:pPr>
                  <w:pPr>
                    <w:pStyle w:val="ListParagraph"/>
                    <w:numPr>
                      <w:ilvl w:val="0"/>
                      <w:numId w:val="40"/>
                    </w:numPr>
                  </w:pPr>
                  <w:r>
                    <w:t xml:space="preserve">sector-specific</w:t>
                  </w:r>
                </w:p>
                <w:p>
                  <w:pPr>
                    <w:pStyle w:val="BodyText"/>
                  </w:pPr>
                  <w:pPr>
                    <w:pStyle w:val="ListParagraph"/>
                    <w:numPr>
                      <w:ilvl w:val="0"/>
                      <w:numId w:val="40"/>
                    </w:numPr>
                  </w:pPr>
                  <w:r>
                    <w:t xml:space="preserve">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ind w:left="0"/>
                  </w:pPr>
                  <w:r>
                    <w:t xml:space="preserve">The primary laws relevant to privacy and data protection are:</w:t>
                  </w:r>
                </w:p>
                <w:p>
                  <w:pPr>
                    <w:pStyle w:val="BodyText"/>
                  </w:pPr>
                  <w:pPr>
                    <w:pStyle w:val="ListParagraph"/>
                    <w:numPr>
                      <w:ilvl w:val="0"/>
                      <w:numId w:val="38"/>
                    </w:numPr>
                  </w:pPr>
                  <w:r>
                    <w:t xml:space="preserve">Law No. 30 of 2018 on the Personal Data Protection Law (“</w:t>
                  </w:r>
                  <w:r>
                    <w:rPr>
                      <w:b/>
                    </w:rPr>
                    <w:t xml:space="preserve">PDPL</w:t>
                  </w:r>
                  <w:r>
                    <w:t xml:space="preserve">”)</w:t>
                  </w:r>
                </w:p>
                <w:p>
                  <w:pPr>
                    <w:pStyle w:val="BodyText"/>
                  </w:pPr>
                  <w:pPr>
                    <w:pStyle w:val="ListParagraph"/>
                    <w:numPr>
                      <w:ilvl w:val="0"/>
                      <w:numId w:val="38"/>
                    </w:numPr>
                  </w:pPr>
                  <w:r>
                    <w:t xml:space="preserve">Ministry of Justice, Islamic Affairs and Waqf Executive Orders:</w:t>
                  </w:r>
                </w:p>
                <w:p>
                  <w:pPr>
                    <w:pStyle w:val="BodyText"/>
                  </w:pPr>
                  <w:pPr>
                    <w:pStyle w:val="ListParagraph"/>
                    <w:numPr>
                      <w:ilvl w:val="1"/>
                      <w:numId w:val="39"/>
                    </w:numPr>
                    <w:ind w:left="1560"/>
                  </w:pPr>
                  <w:r>
                    <w:t xml:space="preserve">No. 42 of 2022 regarding the transfer of personal data outside the Kingdom of Bahrain </w:t>
                  </w:r>
                </w:p>
                <w:p>
                  <w:pPr>
                    <w:pStyle w:val="BodyText"/>
                  </w:pPr>
                  <w:pPr>
                    <w:pStyle w:val="ListParagraph"/>
                    <w:numPr>
                      <w:ilvl w:val="1"/>
                      <w:numId w:val="39"/>
                    </w:numPr>
                    <w:ind w:left="1560"/>
                  </w:pPr>
                  <w:r>
                    <w:t xml:space="preserve">No. 43 of 2022 regarding the conditions to be met in the technical and organizational measures that guarantee protection of personal data </w:t>
                  </w:r>
                </w:p>
                <w:p>
                  <w:pPr>
                    <w:pStyle w:val="BodyText"/>
                  </w:pPr>
                  <w:pPr>
                    <w:pStyle w:val="ListParagraph"/>
                    <w:numPr>
                      <w:ilvl w:val="1"/>
                      <w:numId w:val="39"/>
                    </w:numPr>
                    <w:ind w:left="1560"/>
                  </w:pPr>
                  <w:r>
                    <w:t xml:space="preserve">No. 44 of 2022 regarding the rules and procedures for submitting notifications and prior authorization requests to the Personal Data Protection Authority</w:t>
                  </w:r>
                </w:p>
                <w:p>
                  <w:pPr>
                    <w:pStyle w:val="BodyText"/>
                  </w:pPr>
                  <w:pPr>
                    <w:pStyle w:val="ListParagraph"/>
                    <w:numPr>
                      <w:ilvl w:val="1"/>
                      <w:numId w:val="39"/>
                    </w:numPr>
                    <w:ind w:left="1560"/>
                  </w:pPr>
                  <w:r>
                    <w:t xml:space="preserve">No. 45 of 2022 regarding the rules and procedures for processing sensitive personal data</w:t>
                  </w:r>
                </w:p>
                <w:p>
                  <w:pPr>
                    <w:pStyle w:val="BodyText"/>
                  </w:pPr>
                  <w:pPr>
                    <w:pStyle w:val="ListParagraph"/>
                    <w:numPr>
                      <w:ilvl w:val="1"/>
                      <w:numId w:val="39"/>
                    </w:numPr>
                    <w:ind w:left="1560"/>
                  </w:pPr>
                  <w:r>
                    <w:t xml:space="preserve">No. 46 of 2022 regarding Data Protection Guardians</w:t>
                  </w:r>
                </w:p>
                <w:p>
                  <w:pPr>
                    <w:pStyle w:val="BodyText"/>
                  </w:pPr>
                  <w:pPr>
                    <w:pStyle w:val="ListParagraph"/>
                    <w:numPr>
                      <w:ilvl w:val="1"/>
                      <w:numId w:val="39"/>
                    </w:numPr>
                    <w:ind w:left="1560"/>
                  </w:pPr>
                  <w:r>
                    <w:t xml:space="preserve">No. 47 of 2022 determining the fees of enrollment and renewal in the Data Protection Guardians register and cases of waiver and refund </w:t>
                  </w:r>
                </w:p>
                <w:p>
                  <w:pPr>
                    <w:pStyle w:val="BodyText"/>
                  </w:pPr>
                  <w:pPr>
                    <w:pStyle w:val="ListParagraph"/>
                    <w:numPr>
                      <w:ilvl w:val="1"/>
                      <w:numId w:val="39"/>
                    </w:numPr>
                    <w:ind w:left="1560"/>
                  </w:pPr>
                  <w:r>
                    <w:t xml:space="preserve">No. 48 of 2022 regarding the Data Subject’s Rights</w:t>
                  </w:r>
                </w:p>
                <w:p>
                  <w:pPr>
                    <w:pStyle w:val="BodyText"/>
                  </w:pPr>
                  <w:pPr>
                    <w:pStyle w:val="ListParagraph"/>
                    <w:numPr>
                      <w:ilvl w:val="1"/>
                      <w:numId w:val="39"/>
                    </w:numPr>
                    <w:ind w:left="1560"/>
                  </w:pPr>
                  <w:r>
                    <w:t xml:space="preserve">No. 49 of 2022 with respect to rules and procedures governing submission of complaints regarding violations of the Personal Data Protection Law</w:t>
                  </w:r>
                </w:p>
                <w:p>
                  <w:pPr>
                    <w:pStyle w:val="BodyText"/>
                  </w:pPr>
                  <w:pPr>
                    <w:pStyle w:val="ListParagraph"/>
                    <w:numPr>
                      <w:ilvl w:val="1"/>
                      <w:numId w:val="39"/>
                    </w:numPr>
                    <w:ind w:left="1560"/>
                  </w:pPr>
                  <w:r>
                    <w:t xml:space="preserve">No. 50 of 2022 determining the controls and safeguards for protecting the confidentiality of data concerning instituting and pursuing of criminal proceedings, and related judgements</w:t>
                  </w:r>
                </w:p>
                <w:p>
                  <w:pPr>
                    <w:pStyle w:val="BodyText"/>
                  </w:pPr>
                  <w:pPr>
                    <w:pStyle w:val="ListParagraph"/>
                    <w:numPr>
                      <w:ilvl w:val="1"/>
                      <w:numId w:val="39"/>
                    </w:numPr>
                    <w:ind w:left="1560"/>
                  </w:pPr>
                  <w:r>
                    <w:t xml:space="preserve">No. 51 of 2022 regarding the conditions to be met while creating registers accessible to the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Cybersecurity is a fundamental pillar of the national ICT framework in the Kingdom of Bahrain. The Kingdom has a national cybersecurity framework governed by the General Directorate of Anti-Corruption and Economic and Electronic Security at the Ministry of Interior that addresses cybersecurity in sectors including energy, finance, education and health.</w:t>
                  </w:r>
                </w:p>
                <w:p>
                  <w:pPr>
                    <w:pStyle w:val="BodyText"/>
                  </w:pPr>
                  <w:r>
                    <w:t xml:space="preserve">In addition to the security-related provisions in the PDPL and its Executive Orders, the primary laws relevant to cybersecurity include:</w:t>
                  </w:r>
                </w:p>
                <w:p>
                  <w:pPr>
                    <w:pStyle w:val="BodyText"/>
                  </w:pPr>
                  <w:pPr>
                    <w:pStyle w:val="ListParagraph"/>
                    <w:numPr>
                      <w:ilvl w:val="0"/>
                      <w:numId w:val="37"/>
                    </w:numPr>
                  </w:pPr>
                  <w:r>
                    <w:t xml:space="preserve">Law No. 16 of 2014 regarding the Protection of Information and State Documents</w:t>
                  </w:r>
                </w:p>
                <w:p>
                  <w:pPr>
                    <w:pStyle w:val="BodyText"/>
                  </w:pPr>
                  <w:pPr>
                    <w:pStyle w:val="ListParagraph"/>
                    <w:numPr>
                      <w:ilvl w:val="0"/>
                      <w:numId w:val="37"/>
                    </w:numPr>
                  </w:pPr>
                  <w:r>
                    <w:t xml:space="preserve">Law No. 2 of 2017 for Ratifying the Arab Agreement on Combating IT Crimes</w:t>
                  </w:r>
                </w:p>
                <w:p>
                  <w:pPr>
                    <w:pStyle w:val="BodyText"/>
                  </w:pPr>
                  <w:pPr>
                    <w:pStyle w:val="ListParagraph"/>
                    <w:numPr>
                      <w:ilvl w:val="0"/>
                      <w:numId w:val="37"/>
                    </w:numPr>
                  </w:pPr>
                  <w:r>
                    <w:t xml:space="preserve">Law No. 60 of 2014 regarding IT Crimes</w:t>
                  </w:r>
                </w:p>
                <w:p>
                  <w:pPr>
                    <w:pStyle w:val="BodyText"/>
                  </w:pPr>
                  <w:pPr>
                    <w:pStyle w:val="ListParagraph"/>
                    <w:numPr>
                      <w:ilvl w:val="0"/>
                      <w:numId w:val="37"/>
                    </w:numPr>
                  </w:pPr>
                  <w:r>
                    <w:t xml:space="preserve">Decree-Law No. 54 of 2018 for Issuance of Letters and Electronic Transactions</w:t>
                  </w:r>
                </w:p>
                <w:p>
                  <w:pPr>
                    <w:pStyle w:val="BodyText"/>
                  </w:pPr>
                  <w:pPr>
                    <w:pStyle w:val="ListParagraph"/>
                    <w:numPr>
                      <w:ilvl w:val="0"/>
                      <w:numId w:val="37"/>
                    </w:numPr>
                  </w:pPr>
                  <w:r>
                    <w:t xml:space="preserve">Prime Ministerial Decree No. 36 of 2018 regulating the technical requirements for sending, receiving, and updating the electronic records and signatures of public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 </w:t>
                  </w:r>
                </w:p>
                <w:p>
                  <w:pPr>
                    <w:pStyle w:val="BodyText"/>
                  </w:pPr>
                  <w:pPr>
                    <w:pStyle w:val="ListParagraph"/>
                    <w:numPr>
                      <w:ilvl w:val="0"/>
                      <w:numId w:val="36"/>
                    </w:numPr>
                  </w:pPr>
                  <w:r>
                    <w:t xml:space="preserve">Law No. 16 of 2014 regarding the Protection of Information and State Documents: This law mandates the protection of sensitive information and state documents, ensuring their security and confidentiality.</w:t>
                  </w:r>
                </w:p>
                <w:p>
                  <w:pPr>
                    <w:pStyle w:val="BodyText"/>
                  </w:pPr>
                  <w:pPr>
                    <w:pStyle w:val="ListParagraph"/>
                    <w:numPr>
                      <w:ilvl w:val="0"/>
                      <w:numId w:val="36"/>
                    </w:numPr>
                  </w:pPr>
                  <w:r>
                    <w:t xml:space="preserve">Law No. 2 of 2017 for Ratifying the Arab Agreement on Combating IT Crimes: This law focuses on combating various forms of IT crimes, including those involving non-personal data.</w:t>
                  </w:r>
                </w:p>
                <w:p>
                  <w:pPr>
                    <w:pStyle w:val="BodyText"/>
                  </w:pPr>
                  <w:pPr>
                    <w:pStyle w:val="ListParagraph"/>
                    <w:numPr>
                      <w:ilvl w:val="0"/>
                      <w:numId w:val="36"/>
                    </w:numPr>
                  </w:pPr>
                  <w:r>
                    <w:t xml:space="preserve">Law No. 60 of 2014 regarding IT Crimes: This law addresses offenses related to information technology, including unauthorized access and data breaches involving non-personal data.</w:t>
                  </w:r>
                </w:p>
                <w:p>
                  <w:pPr>
                    <w:pStyle w:val="BodyText"/>
                  </w:pPr>
                  <w:pPr>
                    <w:pStyle w:val="ListParagraph"/>
                    <w:numPr>
                      <w:ilvl w:val="0"/>
                      <w:numId w:val="36"/>
                    </w:numPr>
                  </w:pPr>
                  <w:r>
                    <w:t xml:space="preserve">Decree-Law No. 54 of 2018 for Issuance of Letters and Electronic Transactions: This law regulates electronic transactions, ensuring their security and integrity, which is crucial for the protection of non-personal data.</w:t>
                  </w:r>
                </w:p>
                <w:p>
                  <w:pPr>
                    <w:pStyle w:val="BodyText"/>
                  </w:pPr>
                  <w:pPr>
                    <w:pStyle w:val="ListParagraph"/>
                    <w:numPr>
                      <w:ilvl w:val="0"/>
                      <w:numId w:val="36"/>
                    </w:numPr>
                  </w:pPr>
                  <w:r>
                    <w:t xml:space="preserve">Prime Ministerial Decree No. 36 of 2018: This decree sets technical requirements for sending, receiving, and updating electronic records and signatures of public bodies, which includes non-personal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 imminent changes to the PDPL or core cybersecurity laws are anticipated. However, in early 2024, it was reported that the Shura Council had approved a proposal on a draft law relating to artificial intelligence that would include a new authority to regulate AI, penalties for breaches, and compensation for damages caused by AI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 Ministry of Justice, Islamic Affairs and Waqf was designated by Royal Decree in 2019 to assume the duties of the Personal Data Protection Authority (“</w:t>
                  </w:r>
                  <w:r>
                    <w:rPr>
                      <w:b/>
                    </w:rPr>
                    <w:t xml:space="preserve">PDPA</w:t>
                  </w:r>
                  <w:r>
                    <w:t xml:space="preserve">”) under the PDPL.</w:t>
                  </w:r>
                </w:p>
                <w:p>
                  <w:pPr>
                    <w:pStyle w:val="BodyText"/>
                  </w:pPr>
                  <w:r>
                    <w:t xml:space="preserve">The Kingdom’s national cybersecurity framework is overseen by the General Directorate of Anti-Corruption and Economic and Electronic Security at the Ministry of Interior (“</w:t>
                  </w:r>
                  <w:r>
                    <w:rPr>
                      <w:b/>
                    </w:rPr>
                    <w:t xml:space="preserve">MoI</w:t>
                  </w:r>
                  <w:r>
                    <w:t xml:space="preserve">”) and the National Cyber Security Center</w:t>
                  </w:r>
                  <w:r>
                    <w:t xml:space="preserve">.</w:t>
                  </w:r>
                </w:p>
                <w:p>
                  <w:pPr>
                    <w:pStyle w:val="BodyText"/>
                  </w:pPr>
                  <w:r>
                    <w:t xml:space="preserve">In August 2024, and pursuant to Royal Decree No. 30 of 2024, the National Cyber Security Center was moved to fall under the supervision of the Supreme Council for Defence.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Moderately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It is anticipated that the PDPA will continue its awareness-raising, monitoring and gradual enforcement of the PDPL.</w:t>
                  </w:r>
                </w:p>
                <w:p>
                  <w:pPr>
                    <w:pStyle w:val="BodyText"/>
                  </w:pPr>
                  <w:r>
                    <w:t xml:space="preserve">The MoI will continue to focus on cybersecurity issues, particularly in relation to cybercrime, while the National Cyber Security Center will focus on matters of strategy and national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31 December 2024</w:t>
                  </w:r>
                </w:p>
                <w:p>
                  <w:pPr>
                    <w:pStyle w:val="BodyText"/>
                  </w:pPr>
                  <w:r>
                    <w:t xml:space="preserve">Regulatory investigations or direct enforcement activity by data or cyber regulators are:</w:t>
                  </w:r>
                </w:p>
                <w:p>
                  <w:pPr>
                    <w:pStyle w:val="BodyText"/>
                  </w:pPr>
                  <w:pPr>
                    <w:pStyle w:val="ListParagraph"/>
                    <w:numPr>
                      <w:ilvl w:val="0"/>
                      <w:numId w:val="34"/>
                    </w:numPr>
                  </w:pPr>
                  <w:r>
                    <w:t xml:space="preserve">Rare</w:t>
                  </w:r>
                </w:p>
                <w:p>
                  <w:pPr>
                    <w:pStyle w:val="BodyText"/>
                  </w:pPr>
                  <w:r>
                    <w:t xml:space="preserve">Class actions/group actions under data or cyber regulation are:</w:t>
                  </w:r>
                </w:p>
                <w:p>
                  <w:pPr>
                    <w:pStyle w:val="BodyText"/>
                  </w:pPr>
                  <w:pPr>
                    <w:pStyle w:val="ListParagraph"/>
                    <w:numPr>
                      <w:ilvl w:val="0"/>
                      <w:numId w:val="35"/>
                    </w:numPr>
                  </w:pPr>
                  <w:r>
                    <w:t xml:space="preserve">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rPr>
                      <w:b/>
                    </w:rPr>
                    <w:t xml:space="preserve">There are:</w:t>
                  </w:r>
                </w:p>
                <w:p>
                  <w:pPr>
                    <w:pStyle w:val="BodyText"/>
                  </w:pPr>
                  <w:pPr>
                    <w:pStyle w:val="ListParagraph"/>
                    <w:numPr>
                      <w:ilvl w:val="0"/>
                      <w:numId w:val="33"/>
                    </w:numPr>
                  </w:pPr>
                  <w:r>
                    <w:t xml:space="preserve">administrative remedies / civil penalties applied by regulators and law enforcement</w:t>
                  </w:r>
                </w:p>
                <w:p>
                  <w:pPr>
                    <w:pStyle w:val="BodyText"/>
                  </w:pPr>
                  <w:pPr>
                    <w:pStyle w:val="ListParagraph"/>
                    <w:numPr>
                      <w:ilvl w:val="0"/>
                      <w:numId w:val="33"/>
                    </w:numPr>
                  </w:pPr>
                  <w:r>
                    <w:t xml:space="preserve">criminal penalties from regulators and law enforcement</w:t>
                  </w:r>
                </w:p>
                <w:p>
                  <w:pPr>
                    <w:pStyle w:val="BodyText"/>
                  </w:pPr>
                  <w:pPr>
                    <w:pStyle w:val="ListParagraph"/>
                    <w:numPr>
                      <w:ilvl w:val="0"/>
                      <w:numId w:val="33"/>
                    </w:numPr>
                  </w:pPr>
                  <w:r>
                    <w:t xml:space="preserve">private remedies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Individual personal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rPr>
                      <w:b/>
                    </w:rPr>
                    <w:t xml:space="preserve">Personal Data Protection Law:</w:t>
                  </w:r>
                  <w:r>
                    <w:t xml:space="preserve"> Personal Data means any information in any form concerning an identified individual, or an individual who can, directly or indirectly, be identified by reference, in particular, to his or her personal identification number, or by reference to one or more factors specific to his or her physical, physiological, intellectual, cultural, economic, or social identity. In determining whether an individual is identifiable, all the means that the data controller or any other person uses or may have access to should be taken into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Sensitive data includes:</w:t>
                  </w:r>
                </w:p>
                <w:p>
                  <w:pPr>
                    <w:pStyle w:val="BodyText"/>
                  </w:pPr>
                  <w:pPr>
                    <w:pStyle w:val="ListParagraph"/>
                    <w:numPr>
                      <w:ilvl w:val="0"/>
                      <w:numId w:val="32"/>
                    </w:numPr>
                  </w:pPr>
                  <w:r>
                    <w:t xml:space="preserve">personal data revealing racial or ethnic origin</w:t>
                  </w:r>
                </w:p>
                <w:p>
                  <w:pPr>
                    <w:pStyle w:val="BodyText"/>
                  </w:pPr>
                  <w:pPr>
                    <w:pStyle w:val="ListParagraph"/>
                    <w:numPr>
                      <w:ilvl w:val="0"/>
                      <w:numId w:val="32"/>
                    </w:numPr>
                  </w:pPr>
                  <w:r>
                    <w:t xml:space="preserve">personal data revealing political opinions</w:t>
                  </w:r>
                </w:p>
                <w:p>
                  <w:pPr>
                    <w:pStyle w:val="BodyText"/>
                  </w:pPr>
                  <w:pPr>
                    <w:pStyle w:val="ListParagraph"/>
                    <w:numPr>
                      <w:ilvl w:val="0"/>
                      <w:numId w:val="32"/>
                    </w:numPr>
                  </w:pPr>
                  <w:r>
                    <w:t xml:space="preserve">personal data revealing religious or philosophical belief</w:t>
                  </w:r>
                </w:p>
                <w:p>
                  <w:pPr>
                    <w:pStyle w:val="BodyText"/>
                  </w:pPr>
                  <w:pPr>
                    <w:pStyle w:val="ListParagraph"/>
                    <w:numPr>
                      <w:ilvl w:val="0"/>
                      <w:numId w:val="32"/>
                    </w:numPr>
                  </w:pPr>
                  <w:r>
                    <w:t xml:space="preserve">personal data revealing trade / professional union or association membership</w:t>
                  </w:r>
                </w:p>
                <w:p>
                  <w:pPr>
                    <w:pStyle w:val="BodyText"/>
                  </w:pPr>
                  <w:pPr>
                    <w:pStyle w:val="ListParagraph"/>
                    <w:numPr>
                      <w:ilvl w:val="0"/>
                      <w:numId w:val="32"/>
                    </w:numPr>
                  </w:pPr>
                  <w:r>
                    <w:t xml:space="preserve">data concerning health/medical information</w:t>
                  </w:r>
                </w:p>
                <w:p>
                  <w:pPr>
                    <w:pStyle w:val="BodyText"/>
                  </w:pPr>
                  <w:pPr>
                    <w:pStyle w:val="ListParagraph"/>
                    <w:numPr>
                      <w:ilvl w:val="0"/>
                      <w:numId w:val="32"/>
                    </w:numPr>
                  </w:pPr>
                  <w:r>
                    <w:t xml:space="preserve">data concerning a natural person's sex life or sexual orientation</w:t>
                  </w:r>
                </w:p>
                <w:p>
                  <w:pPr>
                    <w:pStyle w:val="BodyText"/>
                  </w:pPr>
                  <w:pPr>
                    <w:pStyle w:val="ListParagraph"/>
                    <w:numPr>
                      <w:ilvl w:val="0"/>
                      <w:numId w:val="32"/>
                    </w:numPr>
                  </w:pPr>
                  <w:r>
                    <w:t xml:space="preserve">personal data regarding an individual's criminal convictions or record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Do the privacy laws distinguish between controllers/owners and processors/agents? Whereby:</w:t>
                  </w:r>
                </w:p>
                <w:p>
                  <w:pPr>
                    <w:pStyle w:val="BodyText"/>
                  </w:pPr>
                  <w:pPr>
                    <w:pStyle w:val="ListParagraph"/>
                    <w:numPr>
                      <w:ilvl w:val="0"/>
                      <w:numId w:val="31"/>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31"/>
                    </w:numPr>
                  </w:pPr>
                  <w:r>
                    <w:t xml:space="preserve">the processor/agent is natural or legal person, public authority, agency or other body which processes personal data on behalf of the controller</w:t>
                  </w:r>
                </w:p>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30"/>
                    </w:numPr>
                  </w:pPr>
                  <w:r>
                    <w:t xml:space="preserve">applies to organizations located in the jurisdiction</w:t>
                  </w:r>
                </w:p>
                <w:p>
                  <w:pPr>
                    <w:pStyle w:val="BodyText"/>
                  </w:pPr>
                  <w:pPr>
                    <w:pStyle w:val="ListParagraph"/>
                    <w:numPr>
                      <w:ilvl w:val="0"/>
                      <w:numId w:val="30"/>
                    </w:numPr>
                  </w:pPr>
                  <w:r>
                    <w:t xml:space="preserve">other</w:t>
                  </w:r>
                  <w:r>
                    <w:br/>
                  </w:r>
                  <w:r>
                    <w:br/>
                  </w:r>
                  <w:r>
                    <w:t xml:space="preserve">In addition to applying to natural or legal persons resident or with a place of business in the Kingdom, the PDPL also applies to every natural or legal person not habitually resident nor maintaining a place of business in the Kingdom that processes personal data using means situated in the Kingdom, unless such means are used only for purposes of transit of data over the Kingdom’s territory.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Yes</w:t>
                  </w:r>
                </w:p>
                <w:p>
                  <w:pPr>
                    <w:pStyle w:val="BodyText"/>
                  </w:pPr>
                  <w:r>
                    <w:t xml:space="preserve">The following are potential legal bases for processing personal data:</w:t>
                  </w:r>
                </w:p>
                <w:p>
                  <w:pPr>
                    <w:pStyle w:val="BodyText"/>
                  </w:pPr>
                  <w:pPr>
                    <w:pStyle w:val="ListParagraph"/>
                    <w:numPr>
                      <w:ilvl w:val="0"/>
                      <w:numId w:val="29"/>
                    </w:numPr>
                  </w:pPr>
                  <w:r>
                    <w:t xml:space="preserve">the data subject has provided consent to the processing for the identified purposes</w:t>
                  </w:r>
                </w:p>
                <w:p>
                  <w:pPr>
                    <w:pStyle w:val="BodyText"/>
                  </w:pPr>
                  <w:pPr>
                    <w:pStyle w:val="ListParagraph"/>
                    <w:numPr>
                      <w:ilvl w:val="0"/>
                      <w:numId w:val="29"/>
                    </w:numPr>
                  </w:pPr>
                  <w:r>
                    <w:t xml:space="preserve">the personal data is necessary to perform a contract with the data subject</w:t>
                  </w:r>
                </w:p>
                <w:p>
                  <w:pPr>
                    <w:pStyle w:val="BodyText"/>
                  </w:pPr>
                  <w:pPr>
                    <w:pStyle w:val="ListParagraph"/>
                    <w:numPr>
                      <w:ilvl w:val="0"/>
                      <w:numId w:val="29"/>
                    </w:numPr>
                  </w:pPr>
                  <w:r>
                    <w:t xml:space="preserve">the personal data is necessary to comply with a legal obligation</w:t>
                  </w:r>
                </w:p>
                <w:p>
                  <w:pPr>
                    <w:pStyle w:val="BodyText"/>
                  </w:pPr>
                  <w:pPr>
                    <w:pStyle w:val="ListParagraph"/>
                    <w:numPr>
                      <w:ilvl w:val="0"/>
                      <w:numId w:val="29"/>
                    </w:numPr>
                  </w:pPr>
                  <w:r>
                    <w:t xml:space="preserve">the personal data is necessary to protect the vital interests of a natural person</w:t>
                  </w:r>
                </w:p>
                <w:p>
                  <w:pPr>
                    <w:pStyle w:val="BodyText"/>
                  </w:pPr>
                  <w:pPr>
                    <w:pStyle w:val="ListParagraph"/>
                    <w:numPr>
                      <w:ilvl w:val="0"/>
                      <w:numId w:val="29"/>
                    </w:numPr>
                  </w:pPr>
                  <w:r>
                    <w:t xml:space="preserve">the personal data is necessary to fulfil a legitimate interest of the controller or third party (provided that the interest is not overridden by the data subject's privacy interests and the data subject has not made use of his/her right to object)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 following are potential legal bases for processing sensitive personal data:</w:t>
                  </w:r>
                </w:p>
                <w:p>
                  <w:pPr>
                    <w:pStyle w:val="BodyText"/>
                  </w:pPr>
                  <w:pPr>
                    <w:pStyle w:val="ListParagraph"/>
                    <w:numPr>
                      <w:ilvl w:val="0"/>
                      <w:numId w:val="27"/>
                    </w:numPr>
                  </w:pPr>
                  <w:r>
                    <w:t xml:space="preserve">the data subject has given consent to the processing, where consent is measured to the same standard as non-sensitive personal data</w:t>
                  </w:r>
                </w:p>
                <w:p>
                  <w:pPr>
                    <w:pStyle w:val="BodyText"/>
                  </w:pPr>
                  <w:pPr>
                    <w:pStyle w:val="ListParagraph"/>
                    <w:numPr>
                      <w:ilvl w:val="0"/>
                      <w:numId w:val="27"/>
                    </w:numPr>
                  </w:pPr>
                  <w:r>
                    <w:t xml:space="preserve">processing is necessary for the purposes of carrying out the obligations and exercising specific rights of the controller or of the data subject in the field of employment and social security and social protection law</w:t>
                  </w:r>
                </w:p>
                <w:p>
                  <w:pPr>
                    <w:pStyle w:val="BodyText"/>
                  </w:pPr>
                  <w:pPr>
                    <w:pStyle w:val="ListParagraph"/>
                    <w:numPr>
                      <w:ilvl w:val="0"/>
                      <w:numId w:val="27"/>
                    </w:numPr>
                  </w:pPr>
                  <w:r>
                    <w:t xml:space="preserve">processing is necessary to protect the vital interests of the data subject or of another natural person where the data subject is physically or legally incapable of giving consent</w:t>
                  </w:r>
                </w:p>
                <w:p>
                  <w:pPr>
                    <w:pStyle w:val="BodyText"/>
                  </w:pPr>
                  <w:pPr>
                    <w:pStyle w:val="ListParagraph"/>
                    <w:numPr>
                      <w:ilvl w:val="0"/>
                      <w:numId w:val="27"/>
                    </w:numPr>
                  </w:pPr>
                  <w:r>
                    <w:t xml:space="preserve">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pPr>
                    <w:pStyle w:val="ListParagraph"/>
                    <w:numPr>
                      <w:ilvl w:val="0"/>
                      <w:numId w:val="27"/>
                    </w:numPr>
                  </w:pPr>
                  <w:r>
                    <w:t xml:space="preserve">processing relates to personal data which are manifestly made public by the data subject</w:t>
                  </w:r>
                </w:p>
                <w:p>
                  <w:pPr>
                    <w:pStyle w:val="BodyText"/>
                  </w:pPr>
                  <w:pPr>
                    <w:pStyle w:val="ListParagraph"/>
                    <w:numPr>
                      <w:ilvl w:val="0"/>
                      <w:numId w:val="27"/>
                    </w:numPr>
                  </w:pPr>
                  <w:r>
                    <w:t xml:space="preserve">processing is necessary for the establishment, exercise or defense of legal claims</w:t>
                  </w:r>
                </w:p>
                <w:p>
                  <w:pPr>
                    <w:pStyle w:val="BodyText"/>
                  </w:pPr>
                  <w:pPr>
                    <w:pStyle w:val="ListParagraph"/>
                    <w:numPr>
                      <w:ilvl w:val="0"/>
                      <w:numId w:val="27"/>
                    </w:numPr>
                  </w:pPr>
                  <w:r>
                    <w:t xml:space="preserve">processing is necessary for the purposes of medicine, the assessment of the working capacity of the employee, medical diagnosis, the provision of health or social care or treatment or the management of health or social care systems and services (this legal basis might be indirectly and partially recognized via different other legal justifications for data processing, such as contractual performance, health and medication-related purposes).</w:t>
                  </w:r>
                </w:p>
                <w:p>
                  <w:pPr>
                    <w:pStyle w:val="BodyText"/>
                  </w:pPr>
                  <w:pPr>
                    <w:pStyle w:val="ListParagraph"/>
                    <w:numPr>
                      <w:ilvl w:val="0"/>
                      <w:numId w:val="27"/>
                    </w:numPr>
                  </w:pPr>
                  <w:r>
                    <w:t xml:space="preserve">other</w:t>
                  </w:r>
                </w:p>
                <w:p>
                  <w:pPr>
                    <w:pStyle w:val="BodyText"/>
                  </w:pPr>
                  <w:pPr>
                    <w:ind w:left="375"/>
                  </w:pPr>
                  <w:r>
                    <w:t xml:space="preserve">Additional bases in the PDPL include:</w:t>
                  </w:r>
                </w:p>
                <w:p>
                  <w:pPr>
                    <w:pStyle w:val="BodyText"/>
                  </w:pPr>
                  <w:pPr>
                    <w:pStyle w:val="ListParagraph"/>
                    <w:numPr>
                      <w:ilvl w:val="0"/>
                      <w:numId w:val="28"/>
                    </w:numPr>
                  </w:pPr>
                  <w:r>
                    <w:t xml:space="preserve">processing is carried out by a competent public body to the extent necessary to carry out its legitimate duties as laid down by virtue of a law; and</w:t>
                  </w:r>
                </w:p>
                <w:p>
                  <w:pPr>
                    <w:pStyle w:val="BodyText"/>
                  </w:pPr>
                  <w:pPr>
                    <w:pStyle w:val="ListParagraph"/>
                    <w:numPr>
                      <w:ilvl w:val="0"/>
                      <w:numId w:val="28"/>
                    </w:numPr>
                  </w:pPr>
                  <w:r>
                    <w:t xml:space="preserve">processing of data relating to racial, ethnic, or religious origins where the processing is necessary for the purpose of identifying the existence or absence of equality of opportunity or treatment between members of the society of different racial or ethnic or religious origins, provided that such processing is carried out with appropriate safeguards for the rights and freedoms of data subjects as prescribed by law.</w:t>
                  </w:r>
                </w:p>
                <w:p>
                  <w:pPr>
                    <w:pStyle w:val="BodyText"/>
                  </w:pPr>
                  <w:pPr>
                    <w:ind w:left="375"/>
                  </w:pPr>
                  <w:r>
                    <w:t xml:space="preserve">Further conditions around sensitive personal data processing are set out in Executive Order No. 45 of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26"/>
                    </w:numPr>
                  </w:pPr>
                  <w:r>
                    <w:t xml:space="preserve">the identity and the contact details of the controller and, where applicable, of the controller's representative</w:t>
                  </w:r>
                </w:p>
                <w:p>
                  <w:pPr>
                    <w:pStyle w:val="BodyText"/>
                  </w:pPr>
                  <w:pPr>
                    <w:pStyle w:val="ListParagraph"/>
                    <w:numPr>
                      <w:ilvl w:val="0"/>
                      <w:numId w:val="26"/>
                    </w:numPr>
                  </w:pPr>
                  <w:r>
                    <w:t xml:space="preserve">the purposes of the processing for which the personal data is intended</w:t>
                  </w:r>
                </w:p>
                <w:p>
                  <w:pPr>
                    <w:pStyle w:val="BodyText"/>
                  </w:pPr>
                  <w:pPr>
                    <w:pStyle w:val="ListParagraph"/>
                    <w:numPr>
                      <w:ilvl w:val="0"/>
                      <w:numId w:val="26"/>
                    </w:numPr>
                  </w:pPr>
                  <w:r>
                    <w:t xml:space="preserve">the source from which the personal data originates, and if applicable, whether it came from publicly accessible sources</w:t>
                  </w:r>
                </w:p>
                <w:p>
                  <w:pPr>
                    <w:pStyle w:val="BodyText"/>
                  </w:pPr>
                  <w:pPr>
                    <w:pStyle w:val="ListParagraph"/>
                    <w:numPr>
                      <w:ilvl w:val="0"/>
                      <w:numId w:val="26"/>
                    </w:numPr>
                  </w:pPr>
                  <w:r>
                    <w:t xml:space="preserve">the recipients or categories of recipients of the personal data, if any</w:t>
                  </w:r>
                </w:p>
                <w:p>
                  <w:pPr>
                    <w:pStyle w:val="BodyText"/>
                  </w:pPr>
                  <w:pPr>
                    <w:pStyle w:val="ListParagraph"/>
                    <w:numPr>
                      <w:ilvl w:val="0"/>
                      <w:numId w:val="26"/>
                    </w:numPr>
                  </w:pPr>
                  <w:r>
                    <w:t xml:space="preserve">the existence of data subjects' rights, such as the right to access, rectification, erasure, data portability, etc. (only required for a consent form)</w:t>
                  </w:r>
                </w:p>
                <w:p>
                  <w:pPr>
                    <w:pStyle w:val="BodyText"/>
                  </w:pPr>
                  <w:pPr>
                    <w:pStyle w:val="ListParagraph"/>
                    <w:numPr>
                      <w:ilvl w:val="0"/>
                      <w:numId w:val="26"/>
                    </w:numPr>
                  </w:pPr>
                  <w:r>
                    <w:t xml:space="preserve">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pPr>
                    <w:pStyle w:val="ListParagraph"/>
                    <w:numPr>
                      <w:ilvl w:val="0"/>
                      <w:numId w:val="26"/>
                    </w:numPr>
                  </w:pPr>
                  <w:r>
                    <w:t xml:space="preserve">other</w:t>
                  </w:r>
                </w:p>
                <w:p>
                  <w:pPr>
                    <w:pStyle w:val="BodyText"/>
                  </w:pPr>
                  <w:pPr>
                    <w:ind w:left="375"/>
                  </w:pPr>
                  <w:r>
                    <w:t xml:space="preserve">Data subjects must also be provided with any further information that is necessary in the circumstances to ensure fair processing, including whether the personal data will be used for marketing purposes.</w:t>
                  </w:r>
                </w:p>
                <w:p>
                  <w:pPr>
                    <w:pStyle w:val="BodyText"/>
                  </w:pPr>
                  <w:pPr>
                    <w:ind w:left="375"/>
                  </w:pPr>
                  <w:r>
                    <w:t xml:space="preserve">There are certain exceptions to the information provision requirements where data is obtained indirectly, namely where the processing is undertaken for statistical purposes or historical or scientific research (and where notification to the data subject is impossible or unusually onerous) and where processing is necessary for compliance with a legal obligation or order of the court, public prosecution, investigating judge or military prosecution.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rPr>
                      <w:b/>
                    </w:rP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pStyle w:val="ListParagraph"/>
                    <w:numPr>
                      <w:ilvl w:val="0"/>
                      <w:numId w:val="25"/>
                    </w:numPr>
                  </w:pPr>
                  <w:r>
                    <w:t xml:space="preserve">right to rectify/correct the data subject's own personal data where inaccurate or incomplete</w:t>
                  </w:r>
                </w:p>
                <w:p>
                  <w:pPr>
                    <w:pStyle w:val="BodyText"/>
                  </w:pPr>
                  <w:pPr>
                    <w:pStyle w:val="ListParagraph"/>
                    <w:numPr>
                      <w:ilvl w:val="0"/>
                      <w:numId w:val="25"/>
                    </w:numPr>
                  </w:pPr>
                  <w:r>
                    <w:t xml:space="preserve">right to erasure of personal data</w:t>
                  </w:r>
                </w:p>
                <w:p>
                  <w:pPr>
                    <w:pStyle w:val="BodyText"/>
                  </w:pPr>
                  <w:pPr>
                    <w:pStyle w:val="ListParagraph"/>
                    <w:numPr>
                      <w:ilvl w:val="0"/>
                      <w:numId w:val="25"/>
                    </w:numPr>
                  </w:pPr>
                  <w:r>
                    <w:t xml:space="preserve">right to restrict data processing</w:t>
                  </w:r>
                </w:p>
                <w:p>
                  <w:pPr>
                    <w:pStyle w:val="BodyText"/>
                  </w:pPr>
                  <w:pPr>
                    <w:pStyle w:val="ListParagraph"/>
                    <w:numPr>
                      <w:ilvl w:val="0"/>
                      <w:numId w:val="25"/>
                    </w:numPr>
                  </w:pPr>
                  <w:r>
                    <w:t xml:space="preserve">right to object to the processing of personal data</w:t>
                  </w:r>
                </w:p>
                <w:p>
                  <w:pPr>
                    <w:pStyle w:val="BodyText"/>
                  </w:pPr>
                  <w:pPr>
                    <w:pStyle w:val="ListParagraph"/>
                    <w:numPr>
                      <w:ilvl w:val="0"/>
                      <w:numId w:val="25"/>
                    </w:numPr>
                  </w:pPr>
                  <w:r>
                    <w:t xml:space="preserve">right to withdraw consent</w:t>
                  </w:r>
                </w:p>
                <w:p>
                  <w:pPr>
                    <w:pStyle w:val="BodyText"/>
                  </w:pPr>
                  <w:pPr>
                    <w:pStyle w:val="ListParagraph"/>
                    <w:numPr>
                      <w:ilvl w:val="0"/>
                      <w:numId w:val="25"/>
                    </w:numPr>
                  </w:pPr>
                  <w:r>
                    <w:t xml:space="preserve">other</w:t>
                  </w:r>
                </w:p>
                <w:p>
                  <w:pPr>
                    <w:pStyle w:val="BodyText"/>
                  </w:pPr>
                  <w:pPr>
                    <w:ind w:left="375"/>
                  </w:pPr>
                  <w:r>
                    <w:t xml:space="preserve">The PDPL includes rights to information, a right to be notified if personal data is being processed, and a right to object to direct marketing. Further details on data subject rights are set out in Executive Order No. 48 of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There are accountability and governance requirements to:</w:t>
                  </w:r>
                </w:p>
                <w:p>
                  <w:pPr>
                    <w:pStyle w:val="BodyText"/>
                  </w:pPr>
                  <w:pPr>
                    <w:pStyle w:val="ListParagraph"/>
                    <w:numPr>
                      <w:ilvl w:val="0"/>
                      <w:numId w:val="24"/>
                    </w:numPr>
                  </w:pPr>
                  <w:r>
                    <w:t xml:space="preserve">take privacy by default and design measures for all processing of personal data</w:t>
                  </w:r>
                  <w:r>
                    <w:br/>
                  </w:r>
                  <w:r>
                    <w:br/>
                  </w:r>
                  <w:r>
                    <w:t xml:space="preserve">Privacy by design is not referenced in the PDPL, but specified as a requirement in Executive Order No. 43 of 2022.</w:t>
                  </w:r>
                </w:p>
                <w:p>
                  <w:pPr>
                    <w:pStyle w:val="BodyText"/>
                  </w:pPr>
                  <w:pPr>
                    <w:pStyle w:val="ListParagraph"/>
                    <w:numPr>
                      <w:ilvl w:val="0"/>
                      <w:numId w:val="24"/>
                    </w:numPr>
                  </w:pPr>
                  <w:r>
                    <w:t xml:space="preserve">perform and document data protection impact assessments (DPIAs) for high-risk processing:</w:t>
                  </w:r>
                  <w:r>
                    <w:br/>
                  </w:r>
                  <w:r>
                    <w:br/>
                  </w:r>
                  <w:r>
                    <w:t xml:space="preserve">DPIAs are not referenced in the PDPL, but specified as a requirement in Executive Order No. 43 of 2022.</w:t>
                  </w:r>
                </w:p>
                <w:p>
                  <w:pPr>
                    <w:pStyle w:val="BodyText"/>
                  </w:pPr>
                  <w:pPr>
                    <w:pStyle w:val="ListParagraph"/>
                    <w:numPr>
                      <w:ilvl w:val="0"/>
                      <w:numId w:val="24"/>
                    </w:numPr>
                  </w:pPr>
                  <w:r>
                    <w:t xml:space="preserve">maintain a record of processing activities</w:t>
                  </w:r>
                </w:p>
                <w:p>
                  <w:pPr>
                    <w:pStyle w:val="BodyText"/>
                  </w:pPr>
                  <w:pPr>
                    <w:pStyle w:val="ListParagraph"/>
                    <w:numPr>
                      <w:ilvl w:val="0"/>
                      <w:numId w:val="24"/>
                    </w:numPr>
                  </w:pPr>
                  <w:r>
                    <w:t xml:space="preserve">implement appropriate measures to comply with data privacy and security</w:t>
                  </w:r>
                </w:p>
                <w:p>
                  <w:pPr>
                    <w:pStyle w:val="BodyText"/>
                  </w:pPr>
                  <w:pPr>
                    <w:pStyle w:val="ListParagraph"/>
                    <w:numPr>
                      <w:ilvl w:val="0"/>
                      <w:numId w:val="24"/>
                    </w:numPr>
                  </w:pPr>
                  <w:r>
                    <w:t xml:space="preserve">identify a specific individual as the data privacy contact for data subject or data protection authority inquiries</w:t>
                  </w:r>
                </w:p>
                <w:p>
                  <w:pPr>
                    <w:pStyle w:val="BodyText"/>
                  </w:pPr>
                  <w:pPr>
                    <w:pStyle w:val="ListParagraph"/>
                    <w:numPr>
                      <w:ilvl w:val="0"/>
                      <w:numId w:val="24"/>
                    </w:numPr>
                  </w:pPr>
                  <w:r>
                    <w:t xml:space="preserve">provide training to employees</w:t>
                  </w:r>
                  <w:r>
                    <w:br/>
                  </w:r>
                  <w:r>
                    <w:br/>
                  </w:r>
                  <w:r>
                    <w:t xml:space="preserve">Training of employees is not referenced in the PDPL, but specified as a requirement in Executive Order No. 43 of 2022.</w:t>
                  </w:r>
                </w:p>
                <w:p>
                  <w:pPr>
                    <w:pStyle w:val="BodyText"/>
                  </w:pPr>
                  <w:pPr>
                    <w:pStyle w:val="ListParagraph"/>
                    <w:numPr>
                      <w:ilvl w:val="0"/>
                      <w:numId w:val="24"/>
                    </w:numPr>
                  </w:pPr>
                  <w:r>
                    <w:t xml:space="preserve">audit or supervise data processors</w:t>
                  </w:r>
                </w:p>
                <w:p>
                  <w:pPr>
                    <w:pStyle w:val="BodyText"/>
                  </w:pPr>
                  <w:pPr>
                    <w:pStyle w:val="ListParagraph"/>
                    <w:numPr>
                      <w:ilvl w:val="0"/>
                      <w:numId w:val="24"/>
                    </w:numPr>
                  </w:pPr>
                  <w:r>
                    <w:t xml:space="preserve">appoint a local representative in the jurisdiction (if the controller or processor is not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The PDPL establishes the concept of Data Protection Guardians, which are parties accredited by and registered with the PDPA that must be appointed by controllers in certain circumstances. These may be internal (employed) or external (third party) persons meeting specific criteria set out in Executive Order No. 46 of 2022 and enrolled on the register per Executive Order No. 47 of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If yes, under what circumstances?</w:t>
                  </w:r>
                </w:p>
                <w:p>
                  <w:pPr>
                    <w:pStyle w:val="BodyText"/>
                  </w:pPr>
                  <w:r>
                    <w:t xml:space="preserve">The PDPA may determine specific categories of controller that are required to appoint external or internal data guardians from time to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In addition to a general notification requirement, the following operations require the prior written authorization of the PDPA:</w:t>
                  </w:r>
                </w:p>
                <w:p>
                  <w:pPr>
                    <w:pStyle w:val="BodyText"/>
                  </w:pPr>
                  <w:pPr>
                    <w:pStyle w:val="ListParagraph"/>
                    <w:numPr>
                      <w:ilvl w:val="0"/>
                      <w:numId w:val="23"/>
                    </w:numPr>
                  </w:pPr>
                  <w:r>
                    <w:t xml:space="preserve">automatic processing of sensitive personal data;</w:t>
                  </w:r>
                </w:p>
                <w:p>
                  <w:pPr>
                    <w:pStyle w:val="BodyText"/>
                  </w:pPr>
                  <w:pPr>
                    <w:pStyle w:val="ListParagraph"/>
                    <w:numPr>
                      <w:ilvl w:val="0"/>
                      <w:numId w:val="23"/>
                    </w:numPr>
                  </w:pPr>
                  <w:r>
                    <w:t xml:space="preserve">automatic processing of biometric data necessary for the verification of an individual’s identity;</w:t>
                  </w:r>
                </w:p>
                <w:p>
                  <w:pPr>
                    <w:pStyle w:val="BodyText"/>
                  </w:pPr>
                  <w:pPr>
                    <w:pStyle w:val="ListParagraph"/>
                    <w:numPr>
                      <w:ilvl w:val="0"/>
                      <w:numId w:val="23"/>
                    </w:numPr>
                  </w:pPr>
                  <w:r>
                    <w:t xml:space="preserve">automatic processing of genetic data , unless carried out by physicians, or a specialist within a licensed medical establishment, and is necessary for preventative medicine, medical diagnosis or the administration of health care or treatment;</w:t>
                  </w:r>
                </w:p>
                <w:p>
                  <w:pPr>
                    <w:pStyle w:val="BodyText"/>
                  </w:pPr>
                  <w:pPr>
                    <w:pStyle w:val="ListParagraph"/>
                    <w:numPr>
                      <w:ilvl w:val="0"/>
                      <w:numId w:val="23"/>
                    </w:numPr>
                  </w:pPr>
                  <w:r>
                    <w:t xml:space="preserve">automatic processing involving linkage between personal data files, of two or more data controllers, processed for different purposes; and</w:t>
                  </w:r>
                </w:p>
                <w:p>
                  <w:pPr>
                    <w:pStyle w:val="BodyText"/>
                  </w:pPr>
                  <w:pPr>
                    <w:pStyle w:val="ListParagraph"/>
                    <w:numPr>
                      <w:ilvl w:val="0"/>
                      <w:numId w:val="23"/>
                    </w:numPr>
                  </w:pPr>
                  <w:r>
                    <w:t xml:space="preserve">processing that is done by means of visual recording, and used for surveillance purposes.</w:t>
                  </w:r>
                </w:p>
                <w:p>
                  <w:pPr>
                    <w:pStyle w:val="BodyText"/>
                  </w:pPr>
                  <w:r>
                    <w:t xml:space="preserve">Executive Order No. 44 of 2022 provides further guidance on the rules and procedures for submitting the  various notifications and authorization requests to the PDPA as required by the PDPL.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Yes</w:t>
                  </w:r>
                </w:p>
                <w:p>
                  <w:pPr>
                    <w:pStyle w:val="BodyText"/>
                  </w:pPr>
                  <w:r>
                    <w:t xml:space="preserve">Transfers of personal data to third countries are only permissible if there is a legal basis for the processing/transfer and one of the following applies:</w:t>
                  </w:r>
                </w:p>
                <w:p>
                  <w:pPr>
                    <w:pStyle w:val="BodyText"/>
                  </w:pPr>
                  <w:pPr>
                    <w:pStyle w:val="ListParagraph"/>
                    <w:numPr>
                      <w:ilvl w:val="0"/>
                      <w:numId w:val="22"/>
                    </w:numPr>
                  </w:pPr>
                  <w:r>
                    <w:t xml:space="preserve">approved adequate/whitelisted jurisdictions</w:t>
                  </w:r>
                </w:p>
                <w:p>
                  <w:pPr>
                    <w:pStyle w:val="BodyText"/>
                  </w:pPr>
                  <w:pPr>
                    <w:pStyle w:val="ListParagraph"/>
                    <w:numPr>
                      <w:ilvl w:val="0"/>
                      <w:numId w:val="22"/>
                    </w:numPr>
                  </w:pPr>
                  <w:r>
                    <w:t xml:space="preserve">other solutions</w:t>
                  </w:r>
                </w:p>
                <w:p>
                  <w:pPr>
                    <w:pStyle w:val="BodyText"/>
                  </w:pPr>
                  <w:r>
                    <w:t xml:space="preserve">Transfers may occur if approved by the PDPA on a case-by-case basis subject to ensuring an adequate level of protection in the circumstances. Executive Order No. 42 of 2022 provides further details including the list of countries and territories that provide adequate legislative and regulatory protection as determined by the PDPA.</w:t>
                  </w:r>
                </w:p>
                <w:p>
                  <w:pPr>
                    <w:pStyle w:val="BodyText"/>
                  </w:pPr>
                  <w:r>
                    <w:rPr>
                      <w:b/>
                      <w:i/>
                    </w:rPr>
                    <w:t xml:space="preserve">Please see separate question for information on data localization provisions that are not restricted to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w:t>
                  </w:r>
                </w:p>
                <w:p>
                  <w:pPr>
                    <w:pStyle w:val="BodyText"/>
                  </w:pPr>
                  <w:r>
                    <w:t xml:space="preserve">There is no extensive detail in the PDPL around cookies or other online tracking technologies, but Executive Order No. 48 of 2022 makes clear that a data subject’s consent is not valid if a cookie banner obliges them to provide their consent prior to accessing a website.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rPr>
                      <w:b/>
                    </w:rPr>
                    <w:t xml:space="preserve">Email marketing</w:t>
                  </w:r>
                </w:p>
                <w:p>
                  <w:pPr>
                    <w:pStyle w:val="BodyText"/>
                  </w:pPr>
                  <w:pPr>
                    <w:pStyle w:val="ListParagraph"/>
                    <w:numPr>
                      <w:ilvl w:val="0"/>
                      <w:numId w:val="17"/>
                    </w:numPr>
                  </w:pPr>
                  <w:r>
                    <w:t xml:space="preserve">opt-out or implied consent</w:t>
                  </w:r>
                </w:p>
                <w:p>
                  <w:pPr>
                    <w:pStyle w:val="BodyText"/>
                  </w:pPr>
                  <w:r>
                    <w:rPr>
                      <w:b/>
                    </w:rPr>
                    <w:t xml:space="preserve">Telephone marketing</w:t>
                  </w:r>
                </w:p>
                <w:p>
                  <w:pPr>
                    <w:pStyle w:val="BodyText"/>
                  </w:pPr>
                  <w:pPr>
                    <w:pStyle w:val="ListParagraph"/>
                    <w:numPr>
                      <w:ilvl w:val="0"/>
                      <w:numId w:val="18"/>
                    </w:numPr>
                  </w:pPr>
                  <w:r>
                    <w:t xml:space="preserve">opt-out or implied consent</w:t>
                  </w:r>
                </w:p>
                <w:p>
                  <w:pPr>
                    <w:pStyle w:val="BodyText"/>
                  </w:pPr>
                  <w:r>
                    <w:rPr>
                      <w:b/>
                    </w:rPr>
                    <w:t xml:space="preserve">SMS/text message marketing</w:t>
                  </w:r>
                </w:p>
                <w:p>
                  <w:pPr>
                    <w:pStyle w:val="BodyText"/>
                  </w:pPr>
                  <w:pPr>
                    <w:pStyle w:val="ListParagraph"/>
                    <w:numPr>
                      <w:ilvl w:val="0"/>
                      <w:numId w:val="19"/>
                    </w:numPr>
                  </w:pPr>
                  <w:r>
                    <w:t xml:space="preserve">opt-out or implied consent</w:t>
                  </w:r>
                </w:p>
                <w:p>
                  <w:pPr>
                    <w:pStyle w:val="BodyText"/>
                  </w:pPr>
                  <w:r>
                    <w:rPr>
                      <w:b/>
                    </w:rPr>
                    <w:t xml:space="preserve">Postal marketing</w:t>
                  </w:r>
                </w:p>
                <w:p>
                  <w:pPr>
                    <w:pStyle w:val="BodyText"/>
                  </w:pPr>
                  <w:pPr>
                    <w:pStyle w:val="ListParagraph"/>
                    <w:numPr>
                      <w:ilvl w:val="0"/>
                      <w:numId w:val="20"/>
                    </w:numPr>
                  </w:pPr>
                  <w:r>
                    <w:t xml:space="preserve">opt-out or implied consent</w:t>
                  </w:r>
                </w:p>
                <w:p>
                  <w:pPr>
                    <w:pStyle w:val="BodyText"/>
                  </w:pPr>
                  <w:r>
                    <w:rPr>
                      <w:b/>
                    </w:rPr>
                    <w:t xml:space="preserve">Online behavioral advertising targeting/ social media targeting/ad personalization marketing</w:t>
                  </w:r>
                </w:p>
                <w:p>
                  <w:pPr>
                    <w:pStyle w:val="BodyText"/>
                  </w:pPr>
                  <w:pPr>
                    <w:pStyle w:val="ListParagraph"/>
                    <w:numPr>
                      <w:ilvl w:val="0"/>
                      <w:numId w:val="21"/>
                    </w:numPr>
                  </w:pPr>
                  <w:r>
                    <w:t xml:space="preserve">opt-out or implied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same as for data subjects outside the employment context.</w:t>
                  </w:r>
                </w:p>
                <w:p>
                  <w:pPr>
                    <w:pStyle w:val="BodyText"/>
                  </w:pPr>
                  <w:r>
                    <w:t xml:space="preserve">There are no express provisions in the PDPL regarding consent in the employment context and no specific available guidance on this issue as at the end of 2024.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If yes, please provide a link.</w:t>
                  </w:r>
                </w:p>
                <w:p>
                  <w:pPr>
                    <w:pStyle w:val="BodyText"/>
                  </w:pPr>
                  <w:hyperlink w:history="true" r:id="R814ed73d5c4d4725">
                    <w:r>
                      <w:rPr>
                        <w:rStyle w:val="Hyperlink"/>
                      </w:rPr>
                      <w:t xml:space="preserve">Executive Order No. 48 of 2022 on data subject rights specifies that controllers must inform subjects of decisions based on automated processing and implement clear procedures for raising objections</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Yes</w:t>
                  </w:r>
                </w:p>
                <w:p>
                  <w:pPr>
                    <w:pStyle w:val="BodyText"/>
                  </w:pPr>
                  <w:r>
                    <w:t xml:space="preserve">The restrictions or requirements are as follows:</w:t>
                  </w:r>
                </w:p>
                <w:p>
                  <w:pPr>
                    <w:pStyle w:val="BodyText"/>
                  </w:pPr>
                  <w:pPr>
                    <w:pStyle w:val="ListParagraph"/>
                    <w:numPr>
                      <w:ilvl w:val="0"/>
                      <w:numId w:val="16"/>
                    </w:numPr>
                  </w:pPr>
                  <w:r>
                    <w:t xml:space="preserve"> </w:t>
                  </w:r>
                  <w:r>
                    <w:t xml:space="preserve">qualified right not to be subject to a decision based solely on automated decision making, including profiling – for example, only applicable if the decision produces legal effects concerning them or similarly significantly affects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 right does not apply where the decision is taken in the course of entering into or performance of a contract with the data subject, provided that suitable measures to safeguard his legitimate interests have been taken.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rPr>
                      <w:i/>
                    </w:rPr>
                    <w:t xml:space="preserve">If yes, please provide brief details and a link.</w:t>
                  </w:r>
                </w:p>
                <w:p>
                  <w:pPr>
                    <w:pStyle w:val="BodyText"/>
                  </w:pPr>
                  <w:hyperlink w:history="true" r:id="R08584422f79148e4">
                    <w:r>
                      <w:rPr>
                        <w:rStyle w:val="Hyperlink"/>
                      </w:rPr>
                      <w:t xml:space="preserve">Executive Order No. 48 of 2022 on data subject rights specifies that controllers must inform subjects of decisions based on automated processing and implement clear procedures for raising objections</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w:t>
                  </w:r>
                  <w:r>
                    <w:rPr>
                      <w:i/>
                    </w:rPr>
                    <w:t xml:space="preserve"> 31 December 2024</w:t>
                  </w:r>
                </w:p>
                <w:p>
                  <w:pPr>
                    <w:pStyle w:val="BodyText"/>
                  </w:pPr>
                  <w:r>
                    <w:rPr>
                      <w:color w:val="000000"/>
                    </w:rPr>
                    <w:t xml:space="preserve">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31 December 2024</w:t>
                  </w:r>
                </w:p>
                <w:p>
                  <w:pPr>
                    <w:pStyle w:val="BodyText"/>
                  </w:pPr>
                  <w:pPr>
                    <w:pStyle w:val="ListParagraph"/>
                    <w:numPr>
                      <w:ilvl w:val="0"/>
                      <w:numId w:val="15"/>
                    </w:numPr>
                  </w:pPr>
                  <w:r>
                    <w:t xml:space="preserve">Proposal for legislation or regulation at an early stage</w:t>
                  </w:r>
                </w:p>
                <w:p>
                  <w:pPr>
                    <w:pStyle w:val="BodyText"/>
                  </w:pPr>
                  <w:r>
                    <w:t xml:space="preserve">In early 2024, it was reported that the Shura Council had approved a proposal on a draft law relating to artificial intelligence that would include a new authority to regulate AI, penalties for breaches, and compensation for damages caused by AI systems.</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Yes</w:t>
                  </w:r>
                </w:p>
                <w:p>
                  <w:pPr>
                    <w:pStyle w:val="BodyText"/>
                  </w:pPr>
                  <w:pPr>
                    <w:pStyle w:val="ListParagraph"/>
                    <w:numPr>
                      <w:ilvl w:val="0"/>
                      <w:numId w:val="14"/>
                    </w:numPr>
                  </w:pPr>
                  <w:r>
                    <w:t xml:space="preserve">general obligation to take appropriate / reasonable technical, physical and/or organizational security measures</w:t>
                  </w:r>
                </w:p>
                <w:p>
                  <w:pPr>
                    <w:pStyle w:val="BodyText"/>
                  </w:pPr>
                  <w:pPr>
                    <w:pStyle w:val="ListParagraph"/>
                    <w:numPr>
                      <w:ilvl w:val="0"/>
                      <w:numId w:val="14"/>
                    </w:numPr>
                  </w:pPr>
                  <w:r>
                    <w:t xml:space="preserve">requirement to undertake third party due diligence (security assessment of third party providers)</w:t>
                  </w:r>
                </w:p>
                <w:p>
                  <w:pPr>
                    <w:pStyle w:val="BodyText"/>
                  </w:pPr>
                  <w:r>
                    <w:t xml:space="preserve">Further details on technical and organizational measures to guarantee protection of personal data are set out in Executive Order No. 43 of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pPr>
                    <w:pStyle w:val="ListParagraph"/>
                    <w:numPr>
                      <w:ilvl w:val="0"/>
                      <w:numId w:val="12"/>
                    </w:numPr>
                  </w:pPr>
                  <w:r>
                    <w:t xml:space="preserve">other</w:t>
                  </w:r>
                </w:p>
                <w:p>
                  <w:pPr>
                    <w:pStyle w:val="BodyText"/>
                  </w:pPr>
                  <w:r>
                    <w:t xml:space="preserve">If yes, please provide brief details of the relevant law or regulation.</w:t>
                  </w:r>
                </w:p>
                <w:p>
                  <w:pPr>
                    <w:pStyle w:val="BodyText"/>
                  </w:pPr>
                  <w:pPr>
                    <w:pStyle w:val="ListParagraph"/>
                    <w:numPr>
                      <w:ilvl w:val="0"/>
                      <w:numId w:val="13"/>
                    </w:numPr>
                  </w:pPr>
                  <w:r>
                    <w:t xml:space="preserve">Law No. 16 of 2014 regarding the Protection of Information and State Documents, which mandates the protection of sensitive information and state documents.</w:t>
                  </w:r>
                </w:p>
                <w:p>
                  <w:pPr>
                    <w:pStyle w:val="BodyText"/>
                  </w:pPr>
                  <w:pPr>
                    <w:pStyle w:val="ListParagraph"/>
                    <w:numPr>
                      <w:ilvl w:val="0"/>
                      <w:numId w:val="13"/>
                    </w:numPr>
                  </w:pPr>
                  <w:r>
                    <w:t xml:space="preserve">Prime Ministerial Decree No. 36 of 2018 sets technical requirements for sending, receiving, and updating electronic records and signatures of public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1"/>
                    </w:numPr>
                  </w:pPr>
                  <w:r>
                    <w:rPr>
                      <w:b/>
                    </w:rPr>
                    <w:t xml:space="preserve">National Cyber Security Center ("NCSC"):</w:t>
                  </w:r>
                  <w:r>
                    <w:t xml:space="preserve"> The NCSC has been proactive in enhancing cybersecurity awareness and education. In 2024, they launched the National Cybersecurity Awareness Campaign, which included comprehensive training programs tailored for public sector employees. These initiatives aim to bolster the overall cybersecurity posture of Bahrain by equipping individuals with the necessary skills and knowledge to combat cyber threats.</w:t>
                  </w:r>
                </w:p>
                <w:p>
                  <w:pPr>
                    <w:pStyle w:val="BodyText"/>
                  </w:pPr>
                  <w:pPr>
                    <w:pStyle w:val="ListParagraph"/>
                    <w:numPr>
                      <w:ilvl w:val="0"/>
                      <w:numId w:val="11"/>
                    </w:numPr>
                  </w:pPr>
                  <w:r>
                    <w:rPr>
                      <w:b/>
                    </w:rPr>
                    <w:t xml:space="preserve">General Directorate of Anti-Corruption and Economic and Electronic Security ("MOI"):</w:t>
                  </w:r>
                  <w:r>
                    <w:t xml:space="preserve"> This directorate plays a crucial role in the implementation of Bahrain's National Cybersecurity Strategy. Their efforts are focused on safeguarding critical national infrastructure and ensuring a robust response to cyber threats.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The primary obligation is set out in the PDPL with supplementary requirements in Executive Order No. 43 of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0"/>
                    </w:numPr>
                  </w:pPr>
                  <w:r>
                    <w:t xml:space="preserve">data protection authorities</w:t>
                  </w:r>
                </w:p>
                <w:p>
                  <w:pPr>
                    <w:pStyle w:val="BodyText"/>
                  </w:pPr>
                  <w:pPr>
                    <w:pStyle w:val="ListParagraph"/>
                    <w:numPr>
                      <w:ilvl w:val="0"/>
                      <w:numId w:val="10"/>
                    </w:numPr>
                  </w:pPr>
                  <w:r>
                    <w:t xml:space="preserve">affected individuals</w:t>
                  </w:r>
                </w:p>
                <w:p>
                  <w:pPr>
                    <w:pStyle w:val="BodyText"/>
                  </w:pPr>
                  <w:pPr>
                    <w:pStyle w:val="ListParagraph"/>
                    <w:numPr>
                      <w:ilvl w:val="0"/>
                      <w:numId w:val="10"/>
                    </w:numPr>
                  </w:pPr>
                  <w:r>
                    <w:t xml:space="preserve">other</w:t>
                  </w:r>
                </w:p>
                <w:p>
                  <w:pPr>
                    <w:pStyle w:val="BodyText"/>
                  </w:pPr>
                  <w:pPr>
                    <w:ind w:left="375"/>
                  </w:pPr>
                  <w:r>
                    <w:t xml:space="preserve">Executive Order No. 43 of 2022 requires controllers to establish communications channels with data subjects to enable them to report breaches or potential violations.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rPr>
                      <w:b/>
                    </w:rPr>
                    <w:t xml:space="preserve">Telecommunication requirements</w:t>
                  </w:r>
                  <w:r>
                    <w:br/>
                  </w:r>
                  <w:r>
                    <w:br/>
                  </w:r>
                  <w:r>
                    <w:t xml:space="preserve">The Telecommunications Regulatory Authority (</w:t>
                  </w:r>
                  <w:r>
                    <w:rPr>
                      <w:b/>
                    </w:rPr>
                    <w:t xml:space="preserve">"TRA"</w:t>
                  </w:r>
                  <w:r>
                    <w:t xml:space="preserve">) has specific guidelines for telecom operators regarding data security and breach notifications. Operators are required to report any significant data breaches that could impact the confidentiality, integrity, or availability of telecommunications services.</w:t>
                  </w:r>
                </w:p>
                <w:p>
                  <w:pPr>
                    <w:pStyle w:val="BodyText"/>
                  </w:pPr>
                  <w:r>
                    <w:rPr>
                      <w:b/>
                    </w:rPr>
                    <w:t xml:space="preserve">Providers of critical infrastructure</w:t>
                  </w:r>
                  <w:r>
                    <w:br/>
                  </w:r>
                  <w:r>
                    <w:br/>
                  </w:r>
                  <w:r>
                    <w:t xml:space="preserve">Organizations that manage critical infrastructure are subject to stringent cybersecurity requirements. They must report any cyber incidents that could compromise the security and functionality of essential services.</w:t>
                  </w:r>
                </w:p>
                <w:p>
                  <w:pPr>
                    <w:pStyle w:val="BodyText"/>
                  </w:pPr>
                  <w:r>
                    <w:rPr>
                      <w:b/>
                    </w:rPr>
                    <w:t xml:space="preserve">Other</w:t>
                  </w:r>
                  <w:r>
                    <w:br/>
                  </w:r>
                  <w:r>
                    <w:br/>
                  </w:r>
                  <w:r>
                    <w:t xml:space="preserve">The Central Bank of Bahrain (</w:t>
                  </w:r>
                  <w:r>
                    <w:rPr>
                      <w:b/>
                    </w:rPr>
                    <w:t xml:space="preserve">"CBB"</w:t>
                  </w:r>
                  <w:r>
                    <w:t xml:space="preserve">) mandates that financial institutions must notify the CBB of any material data breaches. This includes breaches that could affect the financial stability or integrity of the institution.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p>
                  <w:pPr>
                    <w:pStyle w:val="BodyText"/>
                  </w:pPr>
                  <w:r>
                    <w:t xml:space="preserve">The PDPL does not mandate the retention and storage of personal data within the Kingdom. However, the transfer of personal data outside Bahrain is regulated. According to Executive Order No. 42 of 2022, personal data can only be transferred to countries or regions that provide adequate protection for personal data as determined by the Authority. The Authority has listed 83 countries that meet these criteria. Data controllers may transfer personal data to these countries without prior authorization. For transfers to countries not on the list, data controllers must obtain permission from the Authority, ensure the data subject has consented, or meet specific conditions such as contractual necessity or vital interest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31 December 2024</w:t>
                  </w:r>
                </w:p>
                <w:p>
                  <w:pPr>
                    <w:pStyle w:val="BodyText"/>
                  </w:pPr>
                  <w:r>
                    <w:t xml:space="preserve">Obligation for public sector organizations to share or make accessible non-personal data</w:t>
                  </w:r>
                  <w:r>
                    <w:br/>
                  </w:r>
                  <w:r>
                    <w:br/>
                  </w:r>
                  <w:r>
                    <w:t xml:space="preserve">Bahrain Government has an Open Data Policy incorporating a commitment to making non-sensitive data more accessible and easily shareable.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31 December 2024</w:t>
                  </w:r>
                </w:p>
                <w:p>
                  <w:pPr>
                    <w:pStyle w:val="BodyText"/>
                  </w:pPr>
                  <w:r>
                    <w:t xml:space="preserve">N/A. The Open Data Policy applies only to the public sector.</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153">
    <w:multiLevelType w:val="singleLevel"/>
    <w:lvl w:ilvl="0">
      <w:start w:val="1"/>
      <w:numFmt w:val="decimal"/>
      <w:lvlText w:val="%1."/>
      <w:pPr>
        <w:ind w:left="420" w:hanging="360"/>
      </w:pPr>
    </w:lvl>
  </w:abstractNum>
  <w:abstractNum w:abstractNumId="154">
    <w:multiLevelType w:val="singleLevel"/>
    <w:lvl w:ilvl="0">
      <w:numFmt w:val="bullet"/>
      <w:lvlText w:val="•"/>
      <w:pPr>
        <w:ind w:left="420" w:hanging="360"/>
      </w:pPr>
    </w:lvl>
  </w:abstractNum>
  <w:abstractNum w:abstractNumId="155">
    <w:multiLevelType w:val="singleLevel"/>
    <w:lvl w:ilvl="0">
      <w:numFmt w:val="bullet"/>
      <w:lvlText w:val="▪"/>
      <w:pPr>
        <w:ind w:left="420" w:hanging="360"/>
      </w:pPr>
    </w:lvl>
  </w:abstractNum>
  <w:abstractNum w:abstractNumId="156">
    <w:multiLevelType w:val="singleLevel"/>
    <w:lvl w:ilvl="0">
      <w:numFmt w:val="bullet"/>
      <w:lvlText w:val="o"/>
      <w:pPr>
        <w:ind w:left="420" w:hanging="360"/>
      </w:pPr>
    </w:lvl>
  </w:abstractNum>
  <w:abstractNum w:abstractNumId="157">
    <w:multiLevelType w:val="singleLevel"/>
    <w:lvl w:ilvl="0">
      <w:start w:val="1"/>
      <w:numFmt w:val="upperLetter"/>
      <w:lvlText w:val="%1."/>
      <w:pPr>
        <w:ind w:left="420" w:hanging="360"/>
      </w:pPr>
    </w:lvl>
  </w:abstractNum>
  <w:abstractNum w:abstractNumId="158">
    <w:multiLevelType w:val="singleLevel"/>
    <w:lvl w:ilvl="0">
      <w:start w:val="1"/>
      <w:numFmt w:val="lowerLetter"/>
      <w:lvlText w:val="%1."/>
      <w:pPr>
        <w:ind w:left="420" w:hanging="360"/>
      </w:pPr>
    </w:lvl>
  </w:abstractNum>
  <w:abstractNum w:abstractNumId="159">
    <w:multiLevelType w:val="singleLevel"/>
    <w:lvl w:ilvl="0">
      <w:start w:val="1"/>
      <w:numFmt w:val="upperRoman"/>
      <w:lvlText w:val="%1."/>
      <w:pPr>
        <w:ind w:left="420" w:hanging="360"/>
      </w:pPr>
    </w:lvl>
  </w:abstractNum>
  <w:abstractNum w:abstractNumId="160">
    <w:multiLevelType w:val="singleLevel"/>
    <w:lvl w:ilvl="0">
      <w:start w:val="1"/>
      <w:numFmt w:val="lowerRoman"/>
      <w:lvlText w:val="%1."/>
      <w:pPr>
        <w:ind w:left="420" w:hanging="360"/>
      </w:pPr>
    </w:lvl>
  </w:abstractNum>
  <w:abstractNum w:abstractNumId="161">
    <w:multiLevelType w:val="singleLevel"/>
    <w:lvl w:ilvl="0">
      <w:start w:val="1"/>
      <w:numFmt w:val="decimal"/>
      <w:lvlText w:val="%1."/>
      <w:pPr>
        <w:ind w:left="420" w:hanging="360"/>
      </w:pPr>
    </w:lvl>
  </w:abstractNum>
  <w:abstractNum w:abstractNumId="162">
    <w:multiLevelType w:val="singleLevel"/>
    <w:lvl w:ilvl="0">
      <w:numFmt w:val="bullet"/>
      <w:lvlText w:val="•"/>
      <w:pPr>
        <w:ind w:left="420" w:hanging="360"/>
      </w:pPr>
    </w:lvl>
  </w:abstractNum>
  <w:abstractNum w:abstractNumId="163">
    <w:multiLevelType w:val="singleLevel"/>
    <w:lvl w:ilvl="0">
      <w:numFmt w:val="bullet"/>
      <w:lvlText w:val="▪"/>
      <w:pPr>
        <w:ind w:left="420" w:hanging="360"/>
      </w:pPr>
    </w:lvl>
  </w:abstractNum>
  <w:abstractNum w:abstractNumId="164">
    <w:multiLevelType w:val="singleLevel"/>
    <w:lvl w:ilvl="0">
      <w:numFmt w:val="bullet"/>
      <w:lvlText w:val="o"/>
      <w:pPr>
        <w:ind w:left="420" w:hanging="360"/>
      </w:pPr>
    </w:lvl>
  </w:abstractNum>
  <w:abstractNum w:abstractNumId="165">
    <w:multiLevelType w:val="singleLevel"/>
    <w:lvl w:ilvl="0">
      <w:start w:val="1"/>
      <w:numFmt w:val="upperLetter"/>
      <w:lvlText w:val="%1."/>
      <w:pPr>
        <w:ind w:left="420" w:hanging="360"/>
      </w:pPr>
    </w:lvl>
  </w:abstractNum>
  <w:abstractNum w:abstractNumId="166">
    <w:multiLevelType w:val="singleLevel"/>
    <w:lvl w:ilvl="0">
      <w:start w:val="1"/>
      <w:numFmt w:val="lowerLetter"/>
      <w:lvlText w:val="%1."/>
      <w:pPr>
        <w:ind w:left="420" w:hanging="360"/>
      </w:pPr>
    </w:lvl>
  </w:abstractNum>
  <w:abstractNum w:abstractNumId="167">
    <w:multiLevelType w:val="singleLevel"/>
    <w:lvl w:ilvl="0">
      <w:start w:val="1"/>
      <w:numFmt w:val="upperRoman"/>
      <w:lvlText w:val="%1."/>
      <w:pPr>
        <w:ind w:left="420" w:hanging="360"/>
      </w:pPr>
    </w:lvl>
  </w:abstractNum>
  <w:abstractNum w:abstractNumId="168">
    <w:multiLevelType w:val="singleLevel"/>
    <w:lvl w:ilvl="0">
      <w:start w:val="1"/>
      <w:numFmt w:val="lowerRoman"/>
      <w:lvlText w:val="%1."/>
      <w:pPr>
        <w:ind w:left="420" w:hanging="360"/>
      </w:pPr>
    </w:lvl>
  </w:abstractNum>
  <w:abstractNum w:abstractNumId="169">
    <w:multiLevelType w:val="singleLevel"/>
    <w:lvl w:ilvl="0">
      <w:start w:val="1"/>
      <w:numFmt w:val="decimal"/>
      <w:lvlText w:val="%1."/>
      <w:pPr>
        <w:ind w:left="420" w:hanging="360"/>
      </w:pPr>
    </w:lvl>
  </w:abstractNum>
  <w:abstractNum w:abstractNumId="170">
    <w:multiLevelType w:val="singleLevel"/>
    <w:lvl w:ilvl="0">
      <w:numFmt w:val="bullet"/>
      <w:lvlText w:val="•"/>
      <w:pPr>
        <w:ind w:left="420" w:hanging="360"/>
      </w:pPr>
    </w:lvl>
  </w:abstractNum>
  <w:abstractNum w:abstractNumId="171">
    <w:multiLevelType w:val="singleLevel"/>
    <w:lvl w:ilvl="0">
      <w:numFmt w:val="bullet"/>
      <w:lvlText w:val="▪"/>
      <w:pPr>
        <w:ind w:left="420" w:hanging="360"/>
      </w:pPr>
    </w:lvl>
  </w:abstractNum>
  <w:abstractNum w:abstractNumId="172">
    <w:multiLevelType w:val="singleLevel"/>
    <w:lvl w:ilvl="0">
      <w:numFmt w:val="bullet"/>
      <w:lvlText w:val="o"/>
      <w:pPr>
        <w:ind w:left="420" w:hanging="360"/>
      </w:pPr>
    </w:lvl>
  </w:abstractNum>
  <w:abstractNum w:abstractNumId="173">
    <w:multiLevelType w:val="singleLevel"/>
    <w:lvl w:ilvl="0">
      <w:start w:val="1"/>
      <w:numFmt w:val="upperLetter"/>
      <w:lvlText w:val="%1."/>
      <w:pPr>
        <w:ind w:left="420" w:hanging="360"/>
      </w:pPr>
    </w:lvl>
  </w:abstractNum>
  <w:abstractNum w:abstractNumId="174">
    <w:multiLevelType w:val="singleLevel"/>
    <w:lvl w:ilvl="0">
      <w:start w:val="1"/>
      <w:numFmt w:val="lowerLetter"/>
      <w:lvlText w:val="%1."/>
      <w:pPr>
        <w:ind w:left="420" w:hanging="360"/>
      </w:pPr>
    </w:lvl>
  </w:abstractNum>
  <w:abstractNum w:abstractNumId="175">
    <w:multiLevelType w:val="singleLevel"/>
    <w:lvl w:ilvl="0">
      <w:start w:val="1"/>
      <w:numFmt w:val="upperRoman"/>
      <w:lvlText w:val="%1."/>
      <w:pPr>
        <w:ind w:left="420" w:hanging="360"/>
      </w:pPr>
    </w:lvl>
  </w:abstractNum>
  <w:abstractNum w:abstractNumId="176">
    <w:multiLevelType w:val="singleLevel"/>
    <w:lvl w:ilvl="0">
      <w:start w:val="1"/>
      <w:numFmt w:val="lowerRoman"/>
      <w:lvlText w:val="%1."/>
      <w:pPr>
        <w:ind w:left="420" w:hanging="360"/>
      </w:pPr>
    </w:lvl>
  </w:abstractNum>
  <w:abstractNum w:abstractNumId="177">
    <w:multiLevelType w:val="singleLevel"/>
    <w:lvl w:ilvl="0">
      <w:start w:val="1"/>
      <w:numFmt w:val="decimal"/>
      <w:lvlText w:val="%1."/>
      <w:pPr>
        <w:ind w:left="420" w:hanging="360"/>
      </w:pPr>
    </w:lvl>
  </w:abstractNum>
  <w:abstractNum w:abstractNumId="178">
    <w:multiLevelType w:val="singleLevel"/>
    <w:lvl w:ilvl="0">
      <w:numFmt w:val="bullet"/>
      <w:lvlText w:val="•"/>
      <w:pPr>
        <w:ind w:left="420" w:hanging="360"/>
      </w:pPr>
    </w:lvl>
  </w:abstractNum>
  <w:abstractNum w:abstractNumId="179">
    <w:multiLevelType w:val="singleLevel"/>
    <w:lvl w:ilvl="0">
      <w:numFmt w:val="bullet"/>
      <w:lvlText w:val="▪"/>
      <w:pPr>
        <w:ind w:left="420" w:hanging="360"/>
      </w:pPr>
    </w:lvl>
  </w:abstractNum>
  <w:abstractNum w:abstractNumId="180">
    <w:multiLevelType w:val="singleLevel"/>
    <w:lvl w:ilvl="0">
      <w:numFmt w:val="bullet"/>
      <w:lvlText w:val="o"/>
      <w:pPr>
        <w:ind w:left="420" w:hanging="360"/>
      </w:pPr>
    </w:lvl>
  </w:abstractNum>
  <w:abstractNum w:abstractNumId="181">
    <w:multiLevelType w:val="singleLevel"/>
    <w:lvl w:ilvl="0">
      <w:start w:val="1"/>
      <w:numFmt w:val="upperLetter"/>
      <w:lvlText w:val="%1."/>
      <w:pPr>
        <w:ind w:left="420" w:hanging="360"/>
      </w:pPr>
    </w:lvl>
  </w:abstractNum>
  <w:abstractNum w:abstractNumId="182">
    <w:multiLevelType w:val="singleLevel"/>
    <w:lvl w:ilvl="0">
      <w:start w:val="1"/>
      <w:numFmt w:val="lowerLetter"/>
      <w:lvlText w:val="%1."/>
      <w:pPr>
        <w:ind w:left="420" w:hanging="360"/>
      </w:pPr>
    </w:lvl>
  </w:abstractNum>
  <w:abstractNum w:abstractNumId="183">
    <w:multiLevelType w:val="singleLevel"/>
    <w:lvl w:ilvl="0">
      <w:start w:val="1"/>
      <w:numFmt w:val="upperRoman"/>
      <w:lvlText w:val="%1."/>
      <w:pPr>
        <w:ind w:left="420" w:hanging="360"/>
      </w:pPr>
    </w:lvl>
  </w:abstractNum>
  <w:abstractNum w:abstractNumId="184">
    <w:multiLevelType w:val="singleLevel"/>
    <w:lvl w:ilvl="0">
      <w:start w:val="1"/>
      <w:numFmt w:val="lowerRoman"/>
      <w:lvlText w:val="%1."/>
      <w:pPr>
        <w:ind w:left="420" w:hanging="360"/>
      </w:pPr>
    </w:lvl>
  </w:abstractNum>
  <w:abstractNum w:abstractNumId="185">
    <w:multiLevelType w:val="singleLevel"/>
    <w:lvl w:ilvl="0">
      <w:start w:val="1"/>
      <w:numFmt w:val="decimal"/>
      <w:lvlText w:val="%1."/>
      <w:pPr>
        <w:ind w:left="420" w:hanging="360"/>
      </w:pPr>
    </w:lvl>
  </w:abstractNum>
  <w:abstractNum w:abstractNumId="186">
    <w:multiLevelType w:val="singleLevel"/>
    <w:lvl w:ilvl="0">
      <w:numFmt w:val="bullet"/>
      <w:lvlText w:val="•"/>
      <w:pPr>
        <w:ind w:left="420" w:hanging="360"/>
      </w:pPr>
    </w:lvl>
  </w:abstractNum>
  <w:abstractNum w:abstractNumId="187">
    <w:multiLevelType w:val="singleLevel"/>
    <w:lvl w:ilvl="0">
      <w:numFmt w:val="bullet"/>
      <w:lvlText w:val="▪"/>
      <w:pPr>
        <w:ind w:left="420" w:hanging="360"/>
      </w:pPr>
    </w:lvl>
  </w:abstractNum>
  <w:abstractNum w:abstractNumId="188">
    <w:multiLevelType w:val="singleLevel"/>
    <w:lvl w:ilvl="0">
      <w:numFmt w:val="bullet"/>
      <w:lvlText w:val="o"/>
      <w:pPr>
        <w:ind w:left="420" w:hanging="360"/>
      </w:pPr>
    </w:lvl>
  </w:abstractNum>
  <w:abstractNum w:abstractNumId="189">
    <w:multiLevelType w:val="singleLevel"/>
    <w:lvl w:ilvl="0">
      <w:start w:val="1"/>
      <w:numFmt w:val="upperLetter"/>
      <w:lvlText w:val="%1."/>
      <w:pPr>
        <w:ind w:left="420" w:hanging="360"/>
      </w:pPr>
    </w:lvl>
  </w:abstractNum>
  <w:abstractNum w:abstractNumId="190">
    <w:multiLevelType w:val="singleLevel"/>
    <w:lvl w:ilvl="0">
      <w:start w:val="1"/>
      <w:numFmt w:val="lowerLetter"/>
      <w:lvlText w:val="%1."/>
      <w:pPr>
        <w:ind w:left="420" w:hanging="360"/>
      </w:pPr>
    </w:lvl>
  </w:abstractNum>
  <w:abstractNum w:abstractNumId="191">
    <w:multiLevelType w:val="singleLevel"/>
    <w:lvl w:ilvl="0">
      <w:start w:val="1"/>
      <w:numFmt w:val="upperRoman"/>
      <w:lvlText w:val="%1."/>
      <w:pPr>
        <w:ind w:left="420" w:hanging="360"/>
      </w:pPr>
    </w:lvl>
  </w:abstractNum>
  <w:abstractNum w:abstractNumId="19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58"/>
    <w:lvlOverride w:ilvl="0">
      <w:startOverride w:val="1"/>
    </w:lvlOverride>
  </w:num>
  <w:num w:numId="19">
    <w:abstractNumId w:val="58"/>
    <w:lvlOverride w:ilvl="0">
      <w:startOverride w:val="1"/>
    </w:lvlOverride>
  </w:num>
  <w:num w:numId="20">
    <w:abstractNumId w:val="58"/>
    <w:lvlOverride w:ilvl="0">
      <w:startOverride w:val="1"/>
    </w:lvlOverride>
  </w:num>
  <w:num w:numId="21">
    <w:abstractNumId w:val="58"/>
    <w:lvlOverride w:ilvl="0">
      <w:startOverride w:val="1"/>
    </w:lvlOverride>
  </w:num>
  <w:num w:numId="22">
    <w:abstractNumId w:val="66"/>
    <w:lvlOverride w:ilvl="0">
      <w:startOverride w:val="1"/>
    </w:lvlOverride>
  </w:num>
  <w:num w:numId="23">
    <w:abstractNumId w:val="74"/>
    <w:lvlOverride w:ilvl="0">
      <w:startOverride w:val="1"/>
    </w:lvlOverride>
  </w:num>
  <w:num w:numId="24">
    <w:abstractNumId w:val="82"/>
    <w:lvlOverride w:ilvl="0">
      <w:startOverride w:val="1"/>
    </w:lvlOverride>
  </w:num>
  <w:num w:numId="25">
    <w:abstractNumId w:val="90"/>
    <w:lvlOverride w:ilvl="0">
      <w:startOverride w:val="1"/>
    </w:lvlOverride>
  </w:num>
  <w:num w:numId="26">
    <w:abstractNumId w:val="98"/>
    <w:lvlOverride w:ilvl="0">
      <w:startOverride w:val="1"/>
    </w:lvlOverride>
  </w:num>
  <w:num w:numId="27">
    <w:abstractNumId w:val="106"/>
    <w:lvlOverride w:ilvl="0">
      <w:startOverride w:val="1"/>
    </w:lvlOverride>
  </w:num>
  <w:num w:numId="28">
    <w:abstractNumId w:val="112"/>
    <w:lvlOverride w:ilvl="0">
      <w:startOverride w:val="1"/>
    </w:lvlOverride>
  </w:num>
  <w:num w:numId="29">
    <w:abstractNumId w:val="114"/>
    <w:lvlOverride w:ilvl="0">
      <w:startOverride w:val="1"/>
    </w:lvlOverride>
  </w:num>
  <w:num w:numId="30">
    <w:abstractNumId w:val="122"/>
    <w:lvlOverride w:ilvl="0">
      <w:startOverride w:val="1"/>
    </w:lvlOverride>
  </w:num>
  <w:num w:numId="31">
    <w:abstractNumId w:val="130"/>
    <w:lvlOverride w:ilvl="0">
      <w:startOverride w:val="1"/>
    </w:lvlOverride>
  </w:num>
  <w:num w:numId="32">
    <w:abstractNumId w:val="138"/>
    <w:lvlOverride w:ilvl="0">
      <w:startOverride w:val="1"/>
    </w:lvlOverride>
  </w:num>
  <w:num w:numId="33">
    <w:abstractNumId w:val="146"/>
    <w:lvlOverride w:ilvl="0">
      <w:startOverride w:val="1"/>
    </w:lvlOverride>
  </w:num>
  <w:num w:numId="34">
    <w:abstractNumId w:val="154"/>
    <w:lvlOverride w:ilvl="0">
      <w:startOverride w:val="1"/>
    </w:lvlOverride>
  </w:num>
  <w:num w:numId="35">
    <w:abstractNumId w:val="154"/>
    <w:lvlOverride w:ilvl="0">
      <w:startOverride w:val="1"/>
    </w:lvlOverride>
  </w:num>
  <w:num w:numId="36">
    <w:abstractNumId w:val="162"/>
    <w:lvlOverride w:ilvl="0">
      <w:startOverride w:val="1"/>
    </w:lvlOverride>
  </w:num>
  <w:num w:numId="37">
    <w:abstractNumId w:val="170"/>
    <w:lvlOverride w:ilvl="0">
      <w:startOverride w:val="1"/>
    </w:lvlOverride>
  </w:num>
  <w:num w:numId="38">
    <w:abstractNumId w:val="178"/>
    <w:lvlOverride w:ilvl="0">
      <w:startOverride w:val="1"/>
    </w:lvlOverride>
  </w:num>
  <w:num w:numId="39">
    <w:abstractNumId w:val="180"/>
    <w:lvlOverride w:ilvl="0">
      <w:startOverride w:val="1"/>
    </w:lvlOverride>
  </w:num>
  <w:num w:numId="40">
    <w:abstractNumId w:val="18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pdp.gov.bh/en/assets/pdf/executive-decisions/eng/Data-Subjects-Rights-REVIEWED.pdf" TargetMode="External" Id="R08584422f79148e4" /><Relationship Type="http://schemas.openxmlformats.org/officeDocument/2006/relationships/hyperlink" Target="http://www.pdp.gov.bh/en/assets/pdf/executive-decisions/eng/Data-Subjects-Rights-REVIEWED.pdf" TargetMode="External" Id="R814ed73d5c4d472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