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Australia</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 </w:t>
              </w:r>
            </w:p>
            <w:p>
              <w:pPr>
                <w:pStyle w:val="BodyText"/>
              </w:pPr>
              <w:r>
                <w:t xml:space="preserve">In Australia, it is customary to finalize the due diligence review of a target before executing the acquisition agreement. The key areas of review in the due diligence process will depend on the deal, but generally include corporate, financial, assets, real estate, intellectual property, IT systems, litigation, employment, liabilities, insurance, compliance and tax matters.</w:t>
              </w:r>
            </w:p>
            <w:p>
              <w:pPr>
                <w:pStyle w:val="BodyText"/>
              </w:pPr>
              <w:r>
                <w:t xml:space="preserve">In a share sale transaction, reviewing material contracts (such as shareholder agreements, customer contracts, leases and financing contracts) for change of control provisions is key.</w:t>
              </w:r>
            </w:p>
            <w:p>
              <w:pPr>
                <w:pStyle w:val="BodyText"/>
              </w:pPr>
              <w:r>
                <w:t xml:space="preserve">In asset sales, clauses relating to restrictions on the seller to assign or otherwise transfer their rights or interests in the assets to the buyer are the most relevant.</w:t>
              </w:r>
            </w:p>
            <w:p>
              <w:pPr>
                <w:pStyle w:val="BodyText"/>
              </w:pPr>
              <w:r>
                <w:t xml:space="preserve">Based on the due diligence findings, the parties may negotiate special completion conditions and specific indemnities and tailor specific warranties.</w:t>
              </w:r>
            </w:p>
            <w:p>
              <w:pPr>
                <w:pStyle w:val="BodyText"/>
              </w:pPr>
              <w:r>
                <w:rPr>
                  <w:b/>
                </w:rPr>
                <w:t xml:space="preserve">Pricing and payment</w:t>
              </w:r>
            </w:p>
            <w:p>
              <w:pPr>
                <w:pStyle w:val="BodyText"/>
              </w:pPr>
              <w:r>
                <w:t xml:space="preserve">The payment of deposits is not common practice in Australia, except in the real estate sector.</w:t>
              </w:r>
            </w:p>
            <w:p>
              <w:pPr>
                <w:pStyle w:val="BodyText"/>
              </w:pPr>
              <w:r>
                <w:t xml:space="preserve">There are no requirements to carry out a valuation or follow a particular valuation model for determining the purchase price for securities or assets (although a valuation may be required for stamp duty purposes, for transactions where stamp duty is applicable).</w:t>
              </w:r>
            </w:p>
            <w:p>
              <w:pPr>
                <w:pStyle w:val="BodyText"/>
              </w:pPr>
              <w:r>
                <w:t xml:space="preserve">In practice, the most commonly used valuation method is completion accounts, with the most prevalent being cash-free and debt-free adjustments. This mechanism also commonly includes an adjustment based on any shortfall or excess of the target's actual working capital against a target working capital.</w:t>
              </w:r>
            </w:p>
            <w:p>
              <w:pPr>
                <w:pStyle w:val="BodyText"/>
              </w:pPr>
              <w:r>
                <w:t xml:space="preserve">Fixed price agreements are also fairly common, being the second most frequent pricing preference behind completion accounts..</w:t>
              </w:r>
            </w:p>
            <w:p>
              <w:pPr>
                <w:pStyle w:val="BodyText"/>
              </w:pPr>
              <w:r>
                <w:t xml:space="preserve">Locked-box mechanisms are less common than completion accounts and fixed prices. However, they are typically the preferred mechanism in seller-friendly auctions and private equity deals to reduce or eliminate the complexity of adjustments and provide sellers with a clean exit.  </w:t>
              </w:r>
            </w:p>
            <w:p>
              <w:pPr>
                <w:pStyle w:val="BodyText"/>
              </w:pPr>
              <w:r>
                <w:t xml:space="preserve">Earn-outs are becoming more common as a means of bridging the gap between the seller's and buyer's views on valuation, allowing the buyer to defer payment of some of the consideration, conditional on agreed business milestones or thresholds being achieved. They are particularly favoured in private equity deals where key sellers continue to manage the target for a period after completion.</w:t>
              </w:r>
            </w:p>
            <w:p>
              <w:pPr>
                <w:pStyle w:val="BodyText"/>
              </w:pPr>
              <w:r>
                <w:t xml:space="preserve">Holdbacks (also known as retention) are commonly accepted as a buyer protection tool, primarily used to reserve a portion of the purchase price as security against post‑completion adjustments and potential claims.</w:t>
              </w:r>
            </w:p>
            <w:p>
              <w:pPr>
                <w:pStyle w:val="BodyText"/>
              </w:pPr>
              <w:r>
                <w:t xml:space="preserve">The parties will need to agree upon the form of payment, that is, whether it should be a cash payment, a share exchange, a combination of both cash and share exchange, or other valuable consideration. Cash is the most common form of consideration in private M&amp;A transactions. A mix of cash and share consideration is sometimes seen, usually for private equity rollover transactions. Share-only consideration in private deals is rare.</w:t>
              </w:r>
            </w:p>
            <w:p>
              <w:pPr>
                <w:pStyle w:val="BodyText"/>
              </w:pPr>
              <w:r>
                <w:t xml:space="preserve">Electronic transfers of funds (including through the SWIFT Code international system) are the most common way of making cash price payments.</w:t>
              </w:r>
            </w:p>
            <w:p>
              <w:pPr>
                <w:pStyle w:val="BodyText"/>
              </w:pPr>
              <w:r>
                <w:rPr>
                  <w:b/>
                </w:rPr>
                <w:t xml:space="preserve">Signing/closing</w:t>
              </w:r>
            </w:p>
            <w:p>
              <w:pPr>
                <w:pStyle w:val="BodyText"/>
              </w:pPr>
              <w:r>
                <w:t xml:space="preserve">The shares or assets being sold are formally transferred to the buyer upon closing of the transaction. Usually, the purchase price is paid on closing.</w:t>
              </w:r>
            </w:p>
            <w:p>
              <w:pPr>
                <w:pStyle w:val="BodyText"/>
              </w:pPr>
              <w:r>
                <w:t xml:space="preserve">Simultaneous signing and closing is more commonly seen in straightforward, smaller deals with minimal conditions involving third parties. However, where it is necessary to obtain regulatory approvals or third-party approvals before closing (e.g., customer consents for change of control), it is common for completion to occur shortly after the satisfaction or waiver of the last condition precedent.</w:t>
              </w:r>
            </w:p>
            <w:p>
              <w:pPr>
                <w:pStyle w:val="BodyText"/>
              </w:pPr>
              <w:r>
                <w:t xml:space="preserve">The acquisition agreement will typically provide that on closing, the seller will deliver to the buyer the relevant documents relating to board and shareholder approvals for the transaction, officer appointments/resignations, and revocation of authorities (for share sales) as well as title documents, and other documents necessary for the buyer to obtain legal title to the shares or assets acquired.</w:t>
              </w:r>
            </w:p>
            <w:p>
              <w:pPr>
                <w:pStyle w:val="BodyText"/>
              </w:pPr>
              <w:r>
                <w:rPr>
                  <w:b/>
                </w:rPr>
                <w:t xml:space="preserve">Warranty and indemnity insurance</w:t>
              </w:r>
            </w:p>
            <w:p>
              <w:pPr>
                <w:pStyle w:val="BodyText"/>
              </w:pPr>
              <w:r>
                <w:t xml:space="preserve">In recent years, there has been an increase in the uptake of warranty and indemnity (W&amp;I) insurance by corporate and private equity parties in M&amp;A transactions, and it is now a common consideration in structuring private M&amp;A deals. There are two main types of W&amp;I insurance: a buyer-side policy and a seller-side policy.</w:t>
              </w:r>
            </w:p>
            <w:p>
              <w:pPr>
                <w:pStyle w:val="BodyText"/>
              </w:pPr>
              <w:r>
                <w:t xml:space="preserve">The predominant type of W&amp;I insurance is the buyer-side policy, where the buyer is insured for any losses resulting from a breach of warranty or indemnity  given by the seller under the sale agreement (subject to the agreed limitations). In the event of a breach of an insured warranty or indemnity, the buyer brings a claim under the insurance policy.</w:t>
              </w:r>
            </w:p>
            <w:p>
              <w:pPr>
                <w:pStyle w:val="BodyText"/>
              </w:pPr>
              <w:r>
                <w:t xml:space="preserve">Seller-side policies are relatively rare. They insure the seller for claims by the buyer with respect to financial loss arising from a breach of warranty or indemnity given by the seller under the sale agreement (subject to the agreed limitations). In the event of a breach of an insured warranty or indemnity, the buyer brings a claim under the sale agreement and the seller makes a claim against the insurance policy.</w:t>
              </w:r>
            </w:p>
            <w:p>
              <w:pPr>
                <w:pStyle w:val="BodyText"/>
              </w:pPr>
              <w:r>
                <w:t xml:space="preserve">A W&amp;I policy will usually cover warranties (e.g., title and capacity warranties, general business/operation warranties, and tax warranties) and general indemnities (e.g., warranty and tax indemnities) provided by the seller under the sale agreement. W&amp;I policies do not typically cover specific indemnities. They also typically exclude fraud, negligence or willful misconduct, actual knowledge, disclosed information, criminal or civil penalties, forward looking statements, consequential loss, pricing adjustments, transfer pricing, tax liabilities, defective products/services, government/court orders, environmental risks, data breach/cyber security risks, underfunded superannuation, bribery/corruption, amendments to transaction documents, non-compliance with applicable law, and changes in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Australia has a mandatory and suspensory foreign investment screening procedure, which means that transactions that meet the relevant criteria need to be notified to the relevant authority and cleared before they can be closed.</w:t>
              </w:r>
            </w:p>
            <w:p>
              <w:pPr>
                <w:pStyle w:val="BodyText"/>
              </w:pPr>
              <w:r>
                <w:t xml:space="preserve">The foreign investment review regime is not limited to certain sectors. However, there are additional rules for certain sectors that are considered national security sectors or sensitive sectors. For further information, see the more detailed section on "Foreign investment restrictions".</w:t>
              </w:r>
            </w:p>
            <w:p>
              <w:pPr>
                <w:pStyle w:val="BodyText"/>
              </w:pPr>
              <w:r>
                <w:rPr>
                  <w:b/>
                </w:rPr>
                <w:t xml:space="preserve">Antitrust/merger control</w:t>
              </w:r>
            </w:p>
            <w:p>
              <w:pPr>
                <w:pStyle w:val="BodyText"/>
              </w:pPr>
              <w:r>
                <w:t xml:space="preserve">From 1 January 2026, Australia operates a mandatory and suspensory merger control regime. Acquisitions of shares or assets connected with Australia that meet the prescribed thresholds must be notified to the Australian Competition and Consumer Commission (ACCC) and cannot be closed until clearance is granted.</w:t>
              </w:r>
            </w:p>
            <w:p>
              <w:pPr>
                <w:pStyle w:val="BodyText"/>
              </w:pPr>
              <w:r>
                <w:t xml:space="preserve">A share or asset is connected with Australia where the relevant entity carries on business in Australia or the asset is used in, or forms part of, an Australian business. Assets are defined broadly and include property, rights and goodwill, subject to limited statutory exceptions.</w:t>
              </w:r>
            </w:p>
            <w:p>
              <w:pPr>
                <w:pStyle w:val="BodyText"/>
              </w:pPr>
              <w:r>
                <w:t xml:space="preserve">The regime replaces the former voluntary system. Failure to notify a notifiable acquisition or to observe the suspensory obligation (including the post‑clearance standstill period) may result in significant penalties and the transaction being void. </w:t>
              </w:r>
            </w:p>
            <w:p>
              <w:pPr>
                <w:pStyle w:val="BodyText"/>
              </w:pPr>
              <w:r>
                <w:t xml:space="preserve">For further information, see the more detailed section on "Antitrust/merger control".</w:t>
              </w:r>
            </w:p>
            <w:p>
              <w:pPr>
                <w:pStyle w:val="BodyText"/>
              </w:pPr>
              <w:r>
                <w:rPr>
                  <w:b/>
                </w:rPr>
                <w:t xml:space="preserve">Corporate regulator</w:t>
              </w:r>
            </w:p>
            <w:p>
              <w:pPr>
                <w:pStyle w:val="BodyText"/>
              </w:pPr>
              <w:r>
                <w:t xml:space="preserve">The Australian Securities and Investments Commission (ASIC) is the Australian corporate regulator. ASIC does not directly regulate private asset or share transactions, but filings need to be lodged with ASIC within 28 days of a change in share capital, ownership or ultimate ownership, address details or director and secretary details of an Australian company. ASIC becomes more involved in takeover transactions involving Australian publicly listed entities.</w:t>
              </w:r>
            </w:p>
            <w:p>
              <w:pPr>
                <w:pStyle w:val="BodyText"/>
              </w:pPr>
              <w:r>
                <w:rPr>
                  <w:b/>
                </w:rPr>
                <w:t xml:space="preserve">Other regulatory or government approvals</w:t>
              </w:r>
            </w:p>
            <w:p>
              <w:pPr>
                <w:pStyle w:val="BodyText"/>
              </w:pPr>
              <w:r>
                <w:t xml:space="preserve">Transactions involving certain sectors, such as healthcare, banking, renewables, insurance, financial services and broadcasting, may also involve regulators specific to the industry.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sale transaction, the legal entity being acquired continues to employ its staff after completion of the sale. The employment of the employees does not normally end and the terms and conditions of employment do not change, subject to applicable change of control provisions (which are unusual in employment agreements).</w:t>
              </w:r>
            </w:p>
            <w:p>
              <w:pPr>
                <w:pStyle w:val="BodyText"/>
              </w:pPr>
              <w:r>
                <w:rPr>
                  <w:b/>
                </w:rPr>
                <w:t xml:space="preserve">Asset sale</w:t>
              </w:r>
            </w:p>
            <w:p>
              <w:pPr>
                <w:pStyle w:val="BodyText"/>
              </w:pPr>
              <w:r>
                <w:t xml:space="preserve">In an asset sale, in order to transfer with the business being sold the employees will need to cease employment with the seller and commence employment with the buyer. The buyer will need to make an offer of employment to each employee. Generally, the terms and conditions of employment offered by the buyer need to be comparable or superior to the employees' existing terms and conditions to reduce the risk of the seller being liable for redundancy/termination costs. The offer should be conditional on completion occurring.</w:t>
              </w:r>
            </w:p>
            <w:p>
              <w:pPr>
                <w:pStyle w:val="BodyText"/>
              </w:pPr>
              <w:r>
                <w:t xml:space="preserve">Employees cannot be forced to accept the buyer's offer. The seller will need to consider how to deal with employees who do not accept the offer and which party will bear any resulting costs.</w:t>
              </w:r>
            </w:p>
            <w:p>
              <w:pPr>
                <w:pStyle w:val="BodyText"/>
              </w:pPr>
              <w:r>
                <w:t xml:space="preserve">Commercial issues to consider include redundancies, retention arrangements and indemnities for any claims made against the target company by employees.</w:t>
              </w:r>
            </w:p>
            <w:p>
              <w:pPr>
                <w:pStyle w:val="BodyText"/>
              </w:pPr>
              <w:r>
                <w:t xml:space="preserve">Specialist employment law input is often engaged to review the terms of employment contracts, industrial awards and any rules of any employee share or option schemes or other employee benefit plans and determine the consequences of the sale for participants in those plans.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Income tax</w:t>
              </w:r>
            </w:p>
            <w:p>
              <w:pPr>
                <w:pStyle w:val="BodyText"/>
              </w:pPr>
              <w:r>
                <w:t xml:space="preserve">A nonresident is generally assessable to tax on income derived by it from Australian sources and on capital gains made on assets that are "taxable Australian property" (TAP). TAP may include Australian real property, business assets of Australian permanent establishments and non-portfolio interests in entities that hold a majority of assets that, by market value, comprise Australian real property. This position may be modified by the tax treaty in force between the relevant countries.</w:t>
              </w:r>
            </w:p>
            <w:p>
              <w:pPr>
                <w:pStyle w:val="BodyText"/>
              </w:pPr>
              <w:r>
                <w:rPr>
                  <w:i/>
                </w:rPr>
                <w:t xml:space="preserve">Foreign resident capital gains withholding tax</w:t>
              </w:r>
            </w:p>
            <w:p>
              <w:pPr>
                <w:pStyle w:val="BodyText"/>
              </w:pPr>
              <w:r>
                <w:t xml:space="preserve">The buyer may be required to withhold 15% from the purchase price of certain classes of TAP and remit that amount to the Australian Taxation Office (ATO) where the seller is or is deemed to be a foreign resident or the asset is certain taxable Australian real property assets. The asset sale or share sale agreement should be appropriately drafted to deal with this withholding tax.</w:t>
              </w:r>
            </w:p>
            <w:p>
              <w:pPr>
                <w:pStyle w:val="BodyText"/>
              </w:pPr>
              <w:r>
                <w:rPr>
                  <w:i/>
                </w:rPr>
                <w:t xml:space="preserve">Transfer pricing issues</w:t>
              </w:r>
            </w:p>
            <w:p>
              <w:pPr>
                <w:pStyle w:val="BodyText"/>
              </w:pPr>
              <w:r>
                <w:t xml:space="preserve">Where related parties are counterparties to the transaction or the transaction structure otherwise involves any transactions or other dealings between related parties and one of the entities is a nonresident, the transfer pricing rules should be considered. Generally, the conditions existing between the parties should be at arm's length.</w:t>
              </w:r>
            </w:p>
            <w:p>
              <w:pPr>
                <w:pStyle w:val="BodyText"/>
              </w:pPr>
              <w:r>
                <w:rPr>
                  <w:i/>
                </w:rPr>
                <w:t xml:space="preserve">Thin capitalization</w:t>
              </w:r>
            </w:p>
            <w:p>
              <w:pPr>
                <w:pStyle w:val="BodyText"/>
              </w:pPr>
              <w:r>
                <w:t xml:space="preserve">Australia recently tightened its approach to investment entities funded (including in part) by </w:t>
              </w:r>
              <w:r>
                <w:t xml:space="preserve">debt. A reformed thin capitalisation regime denies debt deductions for entities with associate-entity inclusive debt deductions above AUD 2 million based on stricter tests than previously applied. The default test being an "earnings-based" test rather than the previous "assets-based" test. The new rules also include broad anti-avoidance including rules targeting debt creation that may deny deductions where related party debt is used to acquire a target and certain other debt deduction creation strategies.</w:t>
              </w:r>
            </w:p>
            <w:p>
              <w:pPr>
                <w:pStyle w:val="BodyText"/>
              </w:pPr>
              <w:r>
                <w:rPr>
                  <w:i/>
                </w:rPr>
                <w:t xml:space="preserve">Acquisition structure</w:t>
              </w:r>
            </w:p>
            <w:p>
              <w:pPr>
                <w:pStyle w:val="BodyText"/>
              </w:pPr>
              <w:r>
                <w:t xml:space="preserve">The acquisition structure the buyer uses to acquire the shares will influence the tax treatment of the share acquisition for the buyer, and the go forward tax profile of the company acquired. What acquisition structure is appropriate for the buyer will depend on the profile of the company being acquired, the existing corporate structure of the buyer and the post-acquisition integration plan.</w:t>
              </w:r>
            </w:p>
            <w:p>
              <w:pPr>
                <w:pStyle w:val="BodyText"/>
              </w:pPr>
              <w:r>
                <w:t xml:space="preserve">A discussion of the tax treatment of asset acquisitions and share acquisitions is included in the Tax section of this guide.</w:t>
              </w:r>
            </w:p>
            <w:p>
              <w:pPr>
                <w:pStyle w:val="BodyText"/>
              </w:pPr>
              <w:r>
                <w:rPr>
                  <w:b/>
                </w:rPr>
                <w:t xml:space="preserve">Stamp duty</w:t>
              </w:r>
            </w:p>
            <w:p>
              <w:pPr>
                <w:pStyle w:val="BodyText"/>
              </w:pPr>
              <w:r>
                <w:t xml:space="preserve">The rate of stamp duty and the categories of dutiable property vary between each Australian jurisdiction. The highest effective rates of duty range between 4.5% and 6.5%. Relevant to foreign buyers, surcharge duty rates may also apply in respect of transactions concerning interests (including certain indirect interests) in residential land or primary production property in certain states. Surcharge rates range between approximately 1.5% and 9%, and surcharge duty is payable in addition to the primary duty.</w:t>
              </w:r>
            </w:p>
            <w:p>
              <w:pPr>
                <w:pStyle w:val="BodyText"/>
              </w:pPr>
              <w:r>
                <w:t xml:space="preserve">The buyer is generally liable to pay stamp duty (under statute and contractually).</w:t>
              </w:r>
            </w:p>
            <w:p>
              <w:pPr>
                <w:pStyle w:val="BodyText"/>
              </w:pPr>
              <w:r>
                <w:t xml:space="preserve">A discussion of the duty treatment of asset acquisitions and share acquisitions is included in the Tax section below.</w:t>
              </w:r>
            </w:p>
            <w:p>
              <w:pPr>
                <w:pStyle w:val="BodyText"/>
              </w:pPr>
              <w:r>
                <w:rPr>
                  <w:b/>
                </w:rPr>
                <w:t xml:space="preserve">Goods and Services Tax</w:t>
              </w:r>
            </w:p>
            <w:p>
              <w:pPr>
                <w:pStyle w:val="BodyText"/>
              </w:pPr>
              <w:r>
                <w:t xml:space="preserve">Australia has a Goods and Services Tax (GST) which, where applicable, is levied at a rate of 10%. A discussion of the GST treatment of asset acquisitions and share acquisitions is included in the Tax section of this guide.</w:t>
              </w:r>
            </w:p>
            <w:p>
              <w:pPr>
                <w:pStyle w:val="BodyText"/>
              </w:pPr>
              <w:r>
                <w:rPr>
                  <w:b/>
                </w:rPr>
                <w:t xml:space="preserve">OECD's Two Pillar Solution</w:t>
              </w:r>
            </w:p>
            <w:p>
              <w:pPr>
                <w:pStyle w:val="BodyText"/>
              </w:pPr>
              <w:r>
                <w:t xml:space="preserve">As with many jurisdictions, Australia has implemented the OECD Pillar Two Global Anti-Base Erosion (GloBE) rules, introducing a 15% global and domestic minimum tax for large multinational enterprise (MNE) groups with annual revenues exceeding EUR 750 million. The rules include an Income Inclusion Rule (IIR) and a Qualified Domestic Minimum Top-up Tax (QDMTT). 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2f9b28f241e4341">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2f9b28f241e434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