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Financial Services Regulatory Guide - Austria</w:t>
      </w:r>
      <w:r w:rsidR="00480329"/>
    </w:p>
    <w:p w:rsidRPr="00BC7873" w:rsidR="00BC7873" w:rsidP="00D354EF" w:rsidRDefault="00051AB4" w14:paraId="2476CC56" w14:textId="2FB25FA9">
      <w:pPr>
        <w:pStyle w:val="Title"/>
      </w:pPr>
      <w:r w:rsidRPr="00BC7873">
        <w:t>2. What are the main sources of regulatory laws in your jurisdiction?</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main sources of regulatory laws in your jurisdiction?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main sources of regulatory law in Austria are listed as follows:</w:t>
              </w:r>
            </w:p>
            <w:p>
              <w:pPr>
                <w:pStyle w:val="BodyText"/>
              </w:pPr>
              <w:pPr>
                <w:pStyle w:val="ListParagraph"/>
                <w:numPr>
                  <w:ilvl w:val="0"/>
                  <w:numId w:val="9"/>
                </w:numPr>
              </w:pPr>
              <w:r>
                <w:t xml:space="preserve">The provision of banking services is regulated by the Austrian Banking Act (Bankwesengesetz or BWG; implementing, inter alia, the EU Capital Requirements Directive – CRD V) as well as the EU Capital Requirements Regulation (CRR).</w:t>
              </w:r>
            </w:p>
            <w:p>
              <w:pPr>
                <w:pStyle w:val="BodyText"/>
              </w:pPr>
              <w:pPr>
                <w:pStyle w:val="ListParagraph"/>
                <w:numPr>
                  <w:ilvl w:val="0"/>
                  <w:numId w:val="9"/>
                </w:numPr>
              </w:pPr>
              <w:r>
                <w:t xml:space="preserve">The activities of insurance companies are regulated by the Austrian Insurance Supervision Act (</w:t>
              </w:r>
              <w:r>
                <w:t xml:space="preserve">Versicherungsaufsichtsgesetz</w:t>
              </w:r>
              <w:r>
                <w:t xml:space="preserve"> or VAG; implementing, </w:t>
              </w:r>
              <w:r>
                <w:t xml:space="preserve">inter alia</w:t>
              </w:r>
              <w:r>
                <w:t xml:space="preserve">, the Solvency II Directive).</w:t>
              </w:r>
            </w:p>
            <w:p>
              <w:pPr>
                <w:pStyle w:val="BodyText"/>
              </w:pPr>
              <w:pPr>
                <w:pStyle w:val="ListParagraph"/>
                <w:numPr>
                  <w:ilvl w:val="0"/>
                  <w:numId w:val="9"/>
                </w:numPr>
              </w:pPr>
              <w:r>
                <w:t xml:space="preserve">The provision of investment services is regulated by the Austrian Securities Supervision Act (</w:t>
              </w:r>
              <w:r>
                <w:t xml:space="preserve">Wertpapieraufsichtsgesetz</w:t>
              </w:r>
              <w:r>
                <w:t xml:space="preserve"> </w:t>
              </w:r>
              <w:r>
                <w:t xml:space="preserve">2018</w:t>
              </w:r>
              <w:r>
                <w:t xml:space="preserve"> or WAG 2018; implementing MiFID II).</w:t>
              </w:r>
            </w:p>
            <w:p>
              <w:pPr>
                <w:pStyle w:val="BodyText"/>
              </w:pPr>
              <w:pPr>
                <w:pStyle w:val="ListParagraph"/>
                <w:numPr>
                  <w:ilvl w:val="0"/>
                  <w:numId w:val="9"/>
                </w:numPr>
              </w:pPr>
              <w:r>
                <w:t xml:space="preserve">The provision of payment services is regulated by the Austrian Payment Services Act (</w:t>
              </w:r>
              <w:r>
                <w:t xml:space="preserve">Zahlungsdienstleistungsgesetz 2018</w:t>
              </w:r>
              <w:r>
                <w:t xml:space="preserve"> or ZaDiG 2018; implementing the Payment Services Directive II).</w:t>
              </w:r>
            </w:p>
            <w:p>
              <w:pPr>
                <w:pStyle w:val="BodyText"/>
              </w:pPr>
              <w:pPr>
                <w:pStyle w:val="ListParagraph"/>
                <w:numPr>
                  <w:ilvl w:val="0"/>
                  <w:numId w:val="9"/>
                </w:numPr>
              </w:pPr>
              <w:r>
                <w:t xml:space="preserve">The issuance of e-money is regulated by the Austrian E-Money Act (</w:t>
              </w:r>
              <w:r>
                <w:t xml:space="preserve">E-Geldgesetz 2010</w:t>
              </w:r>
              <w:r>
                <w:t xml:space="preserve"> or E-GeldG; implementing the E-Money Directive).</w:t>
              </w:r>
            </w:p>
            <w:p>
              <w:pPr>
                <w:pStyle w:val="BodyText"/>
              </w:pPr>
              <w:pPr>
                <w:pStyle w:val="ListParagraph"/>
                <w:numPr>
                  <w:ilvl w:val="0"/>
                  <w:numId w:val="9"/>
                </w:numPr>
              </w:pPr>
              <w:r>
                <w:t xml:space="preserve">The public offering of securities and other investments is regulated by the Austrian Capital Market Act (</w:t>
              </w:r>
              <w:r>
                <w:t xml:space="preserve">Kapitalmarktgesetz 2019</w:t>
              </w:r>
              <w:r>
                <w:t xml:space="preserve"> or KMG 2019; implementing the Prospectus Regulation).</w:t>
              </w:r>
            </w:p>
            <w:p>
              <w:pPr>
                <w:pStyle w:val="BodyText"/>
              </w:pPr>
              <w:pPr>
                <w:pStyle w:val="ListParagraph"/>
                <w:numPr>
                  <w:ilvl w:val="0"/>
                  <w:numId w:val="9"/>
                </w:numPr>
              </w:pPr>
              <w:r>
                <w:t xml:space="preserve">The establishment, management and distribution of Undertakings for Investments in Transferable Securities (UCITS) is regulated by the Austrian Investment Fund Act (</w:t>
              </w:r>
              <w:r>
                <w:t xml:space="preserve">Investmentfondsgesetz</w:t>
              </w:r>
              <w:r>
                <w:t xml:space="preserve"> or InvFG; implementing the UCITS Directives).</w:t>
              </w:r>
            </w:p>
            <w:p>
              <w:pPr>
                <w:pStyle w:val="BodyText"/>
              </w:pPr>
              <w:pPr>
                <w:pStyle w:val="ListParagraph"/>
                <w:numPr>
                  <w:ilvl w:val="0"/>
                  <w:numId w:val="9"/>
                </w:numPr>
              </w:pPr>
              <w:r>
                <w:t xml:space="preserve">The management of alternative investment funds (AIF), including the distribution of AIFs in Austria, is regulated by the Austrian Alternative Investment Fund Manager Act (</w:t>
              </w:r>
              <w:r>
                <w:t xml:space="preserve">Alternative Investmentfonds Manager-Gesetz</w:t>
              </w:r>
              <w:r>
                <w:t xml:space="preserve"> or AIFMG; implementing the Alternative Investment Fund Managers Directive).</w:t>
              </w:r>
            </w:p>
            <w:p>
              <w:pPr>
                <w:pStyle w:val="BodyText"/>
              </w:pPr>
              <w:pPr>
                <w:pStyle w:val="ListParagraph"/>
                <w:numPr>
                  <w:ilvl w:val="0"/>
                  <w:numId w:val="9"/>
                </w:numPr>
              </w:pPr>
              <w:r>
                <w:t xml:space="preserve">In general, all supervised entities are subject to the AML and KYC provisions of the Federal Act on the Prevention of Money Laundering and Terrorist Financing in Financial Markets (</w:t>
              </w:r>
              <w:r>
                <w:t xml:space="preserve">Finanzmarkt-Geldwäschegesetz</w:t>
              </w:r>
              <w:r>
                <w:t xml:space="preserve"> or FM-GwG; implementing the Anti Money Laundering Directive).</w:t>
              </w:r>
            </w:p>
            <w:p>
              <w:pPr>
                <w:pStyle w:val="BodyText"/>
              </w:pPr>
              <w:r>
                <w:t xml:space="preserve">As in other EU member states, the majority of the applicable rules in Austria are based on EU directives and regulations.</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https://resourcehub.bakermckenzie.com/en/resources/global-financial-services-regulatory-guide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