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Peru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Montevideo Convention 1979: </w:t>
                  </w:r>
                </w:p>
                <w:p>
                  <w:pPr>
                    <w:pStyle w:val="BodyText"/>
                  </w:pPr>
                  <w:r>
                    <w:t xml:space="preserve">Argentina, Bolivia, Brazil, Colombia, Ecuador, Mexico, Paraguay, Peru, Uruguay, Venezuela.</w:t>
                  </w:r>
                </w:p>
                <w:p>
                  <w:pPr>
                    <w:pStyle w:val="BodyText"/>
                  </w:pPr>
                  <w:r>
                    <w:rPr>
                      <w:b/>
                    </w:rPr>
                    <w:t xml:space="preserve">Bustamante Code 1928:</w:t>
                  </w:r>
                </w:p>
                <w:p>
                  <w:pPr>
                    <w:pStyle w:val="BodyText"/>
                  </w:pPr>
                  <w:r>
                    <w:t xml:space="preserve">Bahamas, Bolivia, Brazil, Costa Rica, Cuba, Dominican Republic, Ecuador, El Salvador, Guatemala, Haiti, Honduras, Nicaragua, Panama, Peru, Venezuela*</w:t>
                  </w:r>
                </w:p>
                <w:p>
                  <w:pPr>
                    <w:pStyle w:val="BodyText"/>
                  </w:pPr>
                  <w:r>
                    <w:t xml:space="preserve">*Although in force in Venezuela, the provisions on recognition and enforcement of foreign judgments (Articles 423435) were reserved by Venezuela.</w:t>
                  </w:r>
                </w:p>
                <w:p>
                  <w:pPr>
                    <w:pStyle w:val="BodyText"/>
                  </w:pPr>
                  <w:r>
                    <w:rPr>
                      <w:b/>
                    </w:rPr>
                    <w:t xml:space="preserve">Bolivian Accord 1911:</w:t>
                  </w:r>
                </w:p>
                <w:p>
                  <w:pPr>
                    <w:pStyle w:val="BodyText"/>
                  </w:pPr>
                  <w:r>
                    <w:t xml:space="preserve">Ecuador, Bolivia, Peru, Colombia, Venezuela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possible, by means of a judicial process of Exequatur. However, if the country that rendered the judgment does not recognize Peruvian judgments, the exequatur would be denied.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estimated time is 2 years not including the collection stage. It is first required to follow an Exequator process for official recognition and then an enforcement process, which includes a final stage for collection. If unopposed, it shouldn’t take more than one year each without considering collection in the latter. The collection stage could take between 3 months and 2 plus years, depending on the kind of assets owned by the defendant,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usually 4 to 6 years without considering the collection stage. It is first required to follow a process of  Exequator for official recognition and then an enforcement process, which includes a final stage for collection. If opposed, the recognition process may take one and a half to two years and a half and the enforcement process from two and a half to four years without considering collection. The collection stage could take 3 months to 2 plus years, depending on the kind of assets owned by the defendant,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cost varies depending on the amount of the claim. Court fees are approximately USD 1200.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opposed, court fees are approximately USD 1500.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Peruvian courts deal with an excessive load of cases and there are usually delays in handling them. If the enforcement is against State entities, a specific procedure for collection should be followed which, depending on the amount, could take up to 5 years only for this stage.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time frame is 2 years without considering collection. It is first required to follow a process of Exequator for official recognition and then an enforcement process, which includes a final stage for collection. If unopposed, they shouldn’t take more than one year each without considering collection in the latter. The collection stage could take 3 months to 2 years or more, depending on the kind of assets owned by the defendant,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opposed, the time frame is 4 to 6 years without considering collection. It is first required to follow a process of Exequator for official recognition and then an enforcement process, which includes a final stage for collection. If opposed, the recognition process may take one and a half to two years and a half and the enforcement process from two and a half to four years without considering collection. The collection stage could take 3 months to 2 years or more, depending on the kind of assets owned by the defendant, if any.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cost varies depending on the amount of the claim. Court fees are approximately USD 1200.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opposed, the court fees are approximately USD 1500.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Peruvian courts deal with an excessive load of cases and there are usually delays in handling them. If the enforcement is against State entities, a specific procedure for collection should be followed which depending on the amount could take up to 5 years only for this stage.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Peruvian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10 year period to enforce the judgment from its expedition. This period may be suspended and/or interrupted.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10 year period to enforce the award from its expedition. This period may be suspended and/or interrupted.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theory yes, however in the practice it is complicated to recover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 goods have to be sold in an auction and only if there are no bids can the requesting party retain the good as payment.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only the part that exceeds USD 611. The amount that exceeds USD 611 is only seizable in one-third of the total.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credits are seizable.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Awards that were previously recognized in Peru can be used to ask the beginning of an insolvency proceeding as long as the credit fulfills some legal requirements. If there is an ongoing proceeding, credits contained in such award can be claimed.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Seizure of valuable securities and of goods within a production facility. Moreover, judges can grant other non-specifically regulated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Ana María Arrarte.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full copy of the judgment duly legalized by a consular agent or certified with an apostille and officially translated into Spanish. In the case of awards, it is possible to file the original and a non-official translation, although judges can request an official version.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BA51E"/>
                      <w:sz w:val="24"/>
                    </w:rPr>
                    <w:t xml:space="preserve">LATAM</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Peru.</w:t>
                  </w:r>
                </w:p>
                <w:p>
                  <w:pPr>
                    <w:pStyle w:val="BodyText"/>
                  </w:pPr>
                  <w:hyperlink w:history="true" r:id="R8408a4c9809945fc">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latam/peru.pdf?sc_lang=en" TargetMode="External" Id="R8408a4c9809945f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