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Netherlands</w:t>
      </w:r>
      <w:r w:rsidR="00480329"/>
    </w:p>
    <w:p w:rsidRPr="00BC7873" w:rsidR="00BC7873" w:rsidP="00D354EF" w:rsidRDefault="00051AB4" w14:paraId="2476CC56" w14:textId="2FB25FA9">
      <w:pPr>
        <w:pStyle w:val="Title"/>
      </w:pPr>
      <w:r w:rsidRPr="00BC7873">
        <w:t>Latest Insights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Alerts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hyperlink w:history="true" r:id="Re5b074db958842c5">
                <w:r>
                  <w:rPr>
                    <w:rStyle w:val="Hyperlink"/>
                  </w:rPr>
                  <w:t xml:space="preserve">International: Tokenization in financial services: Has tokenization's time arrived in 2025? (27 Jun 2025)</w:t>
                </w:r>
              </w:hyperlink>
            </w:p>
            <w:p>
              <w:pPr>
                <w:pStyle w:val="BodyText"/>
              </w:pPr>
              <w:hyperlink w:history="true" r:id="R6625340e11484a2f">
                <w:r>
                  <w:rPr>
                    <w:rStyle w:val="Hyperlink"/>
                  </w:rPr>
                  <w:t xml:space="preserve">International: Digital Transformation Risk Radar for Financial Institutions (18 Jun 2025)</w:t>
                </w:r>
              </w:hyperlink>
            </w:p>
            <w:p>
              <w:pPr>
                <w:pStyle w:val="BodyText"/>
              </w:pPr>
              <w:hyperlink w:history="true" r:id="R782aa25ab9ab4b64">
                <w:r>
                  <w:rPr>
                    <w:rStyle w:val="Hyperlink"/>
                  </w:rPr>
                  <w:t xml:space="preserve">European Union: AML Requirements (18 Jun 2025)</w:t>
                </w:r>
              </w:hyperlink>
            </w:p>
            <w:p>
              <w:pPr>
                <w:pStyle w:val="BodyText"/>
              </w:pPr>
              <w:hyperlink w:history="true" r:id="R3375953f5d994d49">
                <w:r>
                  <w:rPr>
                    <w:rStyle w:val="Hyperlink"/>
                  </w:rPr>
                  <w:t xml:space="preserve">European Union: The New EU AML Framework: Guide to Key Changes for Financial Institutions (18 Jun 2025)</w:t>
                </w:r>
              </w:hyperlink>
            </w:p>
            <w:p>
              <w:pPr>
                <w:pStyle w:val="BodyText"/>
              </w:pPr>
              <w:hyperlink w:history="true" r:id="Re9f0c92adfbc4594">
                <w:r>
                  <w:rPr>
                    <w:rStyle w:val="Hyperlink"/>
                  </w:rPr>
                  <w:t xml:space="preserve">International: FInsight: Tokenisation in Financial Services (Jun 2025)</w:t>
                </w:r>
              </w:hyperlink>
              <w:r>
                <w:br/>
              </w:r>
            </w:p>
            <w:p>
              <w:pPr>
                <w:pStyle w:val="BodyText"/>
              </w:pPr>
              <w:hyperlink w:history="true" r:id="R116d7b9e8d4b45bf">
                <w:r>
                  <w:rPr>
                    <w:rStyle w:val="Hyperlink"/>
                  </w:rPr>
                  <w:t xml:space="preserve">International: Insights from the ISDA AGM Amsterdam 2025 (30 May 2025)</w:t>
                </w:r>
              </w:hyperlink>
            </w:p>
            <w:p>
              <w:pPr>
                <w:pStyle w:val="BodyText"/>
              </w:pPr>
              <w:hyperlink w:history="true" r:id="Rcdb3b4054ed14dc2">
                <w:r>
                  <w:rPr>
                    <w:rStyle w:val="Hyperlink"/>
                  </w:rPr>
                  <w:t xml:space="preserve">European Union: Omnibus — A last chance saloon for the EU taxonomy? (27 May 2025)</w:t>
                </w:r>
              </w:hyperlink>
            </w:p>
            <w:p>
              <w:pPr>
                <w:pStyle w:val="BodyText"/>
              </w:pPr>
              <w:hyperlink w:history="true" r:id="Rcd5175693cc04bae">
                <w:r>
                  <w:rPr>
                    <w:rStyle w:val="Hyperlink"/>
                  </w:rPr>
                  <w:t xml:space="preserve">International: ISDA Master Agreement (7 May 2025)</w:t>
                </w:r>
              </w:hyperlink>
            </w:p>
            <w:p>
              <w:pPr>
                <w:pStyle w:val="BodyText"/>
              </w:pPr>
              <w:hyperlink w:history="true" r:id="R2f5a690a95004436">
                <w:r>
                  <w:rPr>
                    <w:rStyle w:val="Hyperlink"/>
                  </w:rPr>
                  <w:t xml:space="preserve">International: FInsight: The Global Financial Institutions Industry Podcast: Cybersecurity and Financial Institutions (1 May 2025)</w:t>
                </w:r>
              </w:hyperlink>
            </w:p>
            <w:p>
              <w:pPr>
                <w:pStyle w:val="BodyText"/>
              </w:pPr>
              <w:hyperlink w:history="true" r:id="R26a5c6f5c4d94e59">
                <w:r>
                  <w:rPr>
                    <w:rStyle w:val="Hyperlink"/>
                  </w:rPr>
                  <w:t xml:space="preserve">International: The Next Decade in Fintech - Payment methods for the age of tokenization (24 Apr 2025)</w:t>
                </w:r>
              </w:hyperlink>
            </w:p>
            <w:p>
              <w:pPr>
                <w:pStyle w:val="BodyText"/>
              </w:pPr>
              <w:hyperlink w:history="true" r:id="R516ce66addd04b27">
                <w:r>
                  <w:rPr>
                    <w:rStyle w:val="Hyperlink"/>
                  </w:rPr>
                  <w:t xml:space="preserve">International: Tokenization of Financial Markets: Mapping the Plausible Future through Scenario Analysis (22 Apr 2025)</w:t>
                </w:r>
              </w:hyperlink>
            </w:p>
            <w:p>
              <w:pPr>
                <w:pStyle w:val="BodyText"/>
              </w:pPr>
              <w:hyperlink w:history="true" r:id="R23b20f8ef71940d8">
                <w:r>
                  <w:rPr>
                    <w:rStyle w:val="Hyperlink"/>
                  </w:rPr>
                  <w:t xml:space="preserve">International: AI and tech regulation for the financial sector (2 Apr 2025)</w:t>
                </w:r>
              </w:hyperlink>
            </w:p>
            <w:p>
              <w:pPr>
                <w:pStyle w:val="BodyText"/>
              </w:pPr>
              <w:hyperlink w:history="true" r:id="R0d7c793ba92c40f0">
                <w:r>
                  <w:rPr>
                    <w:rStyle w:val="Hyperlink"/>
                  </w:rPr>
                  <w:t xml:space="preserve">International: A Practical Guide to Greenwashing for Financial Institutions (25 Mar 2025)</w:t>
                </w:r>
              </w:hyperlink>
            </w:p>
            <w:p>
              <w:pPr>
                <w:pStyle w:val="BodyText"/>
              </w:pPr>
              <w:hyperlink w:history="true" r:id="Rca5c4edcad874497">
                <w:r>
                  <w:rPr>
                    <w:rStyle w:val="Hyperlink"/>
                  </w:rPr>
                  <w:t xml:space="preserve">European Union: Navigating the New EU Regulation on Digital Operational Resilience (DORA) </w:t>
                </w:r>
              </w:hyperlink>
            </w:p>
            <w:p>
              <w:pPr>
                <w:pStyle w:val="BodyText"/>
              </w:pPr>
              <w:hyperlink w:history="true" r:id="Reb994179a3804708">
                <w:r>
                  <w:rPr>
                    <w:rStyle w:val="Hyperlink"/>
                  </w:rPr>
                  <w:t xml:space="preserve">European Union: ELTIF 2.0 regulatory technical standards published</w:t>
                </w:r>
              </w:hyperlink>
            </w:p>
            <w:p>
              <w:pPr>
                <w:pStyle w:val="BodyText"/>
              </w:pPr>
              <w:hyperlink w:history="true" r:id="Re92967c566af43de">
                <w:r>
                  <w:rPr>
                    <w:rStyle w:val="Hyperlink"/>
                  </w:rPr>
                  <w:t xml:space="preserve">European Union: EU Listing Act: Changing EU Capital Markets for the Better</w:t>
                </w:r>
              </w:hyperlink>
            </w:p>
            <w:p>
              <w:pPr>
                <w:pStyle w:val="BodyText"/>
              </w:pPr>
              <w:hyperlink w:history="true" r:id="R4da919ebf65741a8">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b2f1b3294ef34f4f">
                <w:r>
                  <w:rPr>
                    <w:rStyle w:val="Hyperlink"/>
                  </w:rPr>
                  <w:t xml:space="preserve">Global Disputes Forecast 2025 (8 Jan 2025)</w:t>
                </w:r>
              </w:hyperlink>
            </w:p>
            <w:p>
              <w:pPr>
                <w:pStyle w:val="BodyText"/>
              </w:pPr>
              <w:hyperlink w:history="true" r:id="R64ffccff414c4f9d">
                <w:r>
                  <w:rPr>
                    <w:rStyle w:val="Hyperlink"/>
                  </w:rPr>
                  <w:t xml:space="preserve">MICAR Compliance Toolkit (24 October 2024)</w:t>
                </w:r>
              </w:hyperlink>
            </w:p>
            <w:p>
              <w:pPr>
                <w:pStyle w:val="BodyText"/>
              </w:pPr>
              <w:hyperlink w:history="true" r:id="R9d91dbedbf7d4467">
                <w:r>
                  <w:rPr>
                    <w:rStyle w:val="Hyperlink"/>
                  </w:rPr>
                  <w:t xml:space="preserve">Europe: EU Listing Act: Changing EU Capital Markets for the Better (17 Oct 2024)</w:t>
                </w:r>
              </w:hyperlink>
            </w:p>
            <w:p>
              <w:pPr>
                <w:pStyle w:val="BodyText"/>
              </w:pPr>
              <w:hyperlink w:history="true" r:id="Rc55df3d8b0e440e4">
                <w:r>
                  <w:rPr>
                    <w:rStyle w:val="Hyperlink"/>
                  </w:rPr>
                  <w:t xml:space="preserve">Multijurisdiction: Transition Finance - Where are we going from both a market and regulatory perspective (11-Jul-2024)</w:t>
                </w:r>
              </w:hyperlink>
            </w:p>
            <w:p>
              <w:pPr>
                <w:pStyle w:val="BodyText"/>
              </w:pPr>
              <w:hyperlink w:history="true" r:id="R5b21dd64577a48e8">
                <w:r>
                  <w:rPr>
                    <w:rStyle w:val="Hyperlink"/>
                  </w:rPr>
                  <w:t xml:space="preserve">European Union: CSDDD - No escape for the financial sector? (05-Jul-2024)</w:t>
                </w:r>
              </w:hyperlink>
            </w:p>
            <w:p>
              <w:pPr>
                <w:pStyle w:val="BodyText"/>
              </w:pPr>
              <w:hyperlink w:history="true" r:id="R5c0016f5f7b24bff">
                <w:r>
                  <w:rPr>
                    <w:rStyle w:val="Hyperlink"/>
                  </w:rPr>
                  <w:t xml:space="preserve">Multijurisdiction: Cloud based solutions for financial institutions (4-Jul-2024)</w:t>
                </w:r>
              </w:hyperlink>
            </w:p>
            <w:p>
              <w:pPr>
                <w:pStyle w:val="BodyText"/>
              </w:pPr>
              <w:hyperlink w:history="true" r:id="Rbbf263478411472e">
                <w:r>
                  <w:rPr>
                    <w:rStyle w:val="Hyperlink"/>
                  </w:rPr>
                  <w:t xml:space="preserve">Multijurisdiction: Sustainability-Linked Derivatives - ISDA's Case for Standardisation in a Globalised World (24 Jan-2024)</w:t>
                </w:r>
              </w:hyperlink>
              <w:r>
                <w:br/>
              </w:r>
              <w:r>
                <w:br/>
              </w:r>
              <w:hyperlink w:history="true" r:id="R356bc64c6f6a43e6">
                <w:r>
                  <w:rPr>
                    <w:rStyle w:val="Hyperlink"/>
                  </w:rPr>
                  <w:t xml:space="preserve">International: What's on the radar for Financial Institutions in 2024? (22-Jan-2024)</w:t>
                </w:r>
              </w:hyperlink>
            </w:p>
            <w:p>
              <w:pPr>
                <w:pStyle w:val="BodyText"/>
              </w:pPr>
              <w:hyperlink w:history="true" r:id="Rf31e44fd2840436d">
                <w:r>
                  <w:rPr>
                    <w:rStyle w:val="Hyperlink"/>
                  </w:rPr>
                  <w:t xml:space="preserve">European Union: ELTIF 2.0 regime enters into force (10-Jan-2024)</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e5b074db958842c5" /><Relationship Type="http://schemas.openxmlformats.org/officeDocument/2006/relationships/hyperlink" Target="https://www.bakermckenzie.com/en/insight/publications/resources/digital-transformation-risk-radar-for-financial-institutions" TargetMode="External" Id="R6625340e11484a2f" /><Relationship Type="http://schemas.openxmlformats.org/officeDocument/2006/relationships/hyperlink" Target="https://www.bakermckenzie.com/-/media/files/insight/publications/resources/micar-compliance-toolkit/micarantimoney-laundering-requirements.pdf" TargetMode="External" Id="R782aa25ab9ab4b64" /><Relationship Type="http://schemas.openxmlformats.org/officeDocument/2006/relationships/hyperlink" Target="https://www.bakermckenzie.com/en/insight/publications/guides/new-eu-aml-framework" TargetMode="External" Id="R3375953f5d994d49" /><Relationship Type="http://schemas.openxmlformats.org/officeDocument/2006/relationships/hyperlink" Target="https://www.bakermckenzie.com/en/insight/publications/resources/finsight" TargetMode="External" Id="Re9f0c92adfbc4594"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116d7b9e8d4b45bf" /><Relationship Type="http://schemas.openxmlformats.org/officeDocument/2006/relationships/hyperlink" Target="https://insightplus.bakermckenzie.com/bm/financial-institutions_1/european-union-omnibus-a-last-chance-saloon-for-the-eu-taxonomy" TargetMode="External" Id="Rcdb3b4054ed14dc2" /><Relationship Type="http://schemas.openxmlformats.org/officeDocument/2006/relationships/hyperlink" Target="https://www.bakermckenzie.com/en/insight/publications/guides/isda-master-agreement" TargetMode="External" Id="Rcd5175693cc04bae" /><Relationship Type="http://schemas.openxmlformats.org/officeDocument/2006/relationships/hyperlink" Target="https://insightplus.bakermckenzie.com/bm/financial-institutions_1/international-cybersecurity-and-financial-institutions" TargetMode="External" Id="R2f5a690a95004436" /><Relationship Type="http://schemas.openxmlformats.org/officeDocument/2006/relationships/hyperlink" Target="https://www.bakermckenzie.com/en/insight/publications/resources/payment-methods-for-the-age-of-tokenization" TargetMode="External" Id="R26a5c6f5c4d94e59" /><Relationship Type="http://schemas.openxmlformats.org/officeDocument/2006/relationships/hyperlink" Target="https://www.bakermckenzie.com/en/insight/publications/2025/04/tokenization-financial-markets" TargetMode="External" Id="R516ce66addd04b27" /><Relationship Type="http://schemas.openxmlformats.org/officeDocument/2006/relationships/hyperlink" Target="https://insightplus.bakermckenzie.com/bm/banking-finance_1/international-ai-and-tech-regulation-for-the-financial-sector" TargetMode="External" Id="R23b20f8ef71940d8" /><Relationship Type="http://schemas.openxmlformats.org/officeDocument/2006/relationships/hyperlink" Target="https://insightplus.bakermckenzie.com/bm/banking-finance_1/international-a-practical-guide-to-greenwashing-for-financial-institutions" TargetMode="External" Id="R0d7c793ba92c40f0"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ca5c4edcad874497"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eb994179a3804708"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e92967c566af43de"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4da919ebf65741a8" /><Relationship Type="http://schemas.openxmlformats.org/officeDocument/2006/relationships/hyperlink" Target="https://www.bakermckenzie.com/-/media/files/insight/publications/2025/01/global-disputes-forecast-2025.pdf" TargetMode="External" Id="Rb2f1b3294ef34f4f" /><Relationship Type="http://schemas.openxmlformats.org/officeDocument/2006/relationships/hyperlink" Target="https://www.bakermckenzie.com/en/insight/publications/resources/micar-compliance-toolkit" TargetMode="External" Id="R64ffccff414c4f9d" /><Relationship Type="http://schemas.openxmlformats.org/officeDocument/2006/relationships/hyperlink" Target="https://insightplus.bakermckenzie.com/bm/capital-markets/europe-eu-listing-act" TargetMode="External" Id="R9d91dbedbf7d4467" /><Relationship Type="http://schemas.openxmlformats.org/officeDocument/2006/relationships/hyperlink" Target="https://insightplus.bakermckenzie.com/bm/investigations-compliance-ethics/international-transition-finance-where-are-we-going-from-both-a-market-and-regulatory-perspective" TargetMode="External" Id="Rc55df3d8b0e440e4" /><Relationship Type="http://schemas.openxmlformats.org/officeDocument/2006/relationships/hyperlink" Target="https://insightplus.bakermckenzie.com/bm/banking-finance_1/european-union-csddd-no-escape-for-the-financial-sector" TargetMode="External" Id="R5b21dd64577a48e8" /><Relationship Type="http://schemas.openxmlformats.org/officeDocument/2006/relationships/hyperlink" Target="https://financialinstitutions.bakermckenzie.com/2024/07/04/cloud-based-solutions-for-financial-institutions/" TargetMode="External" Id="R5c0016f5f7b24bff" /><Relationship Type="http://schemas.openxmlformats.org/officeDocument/2006/relationships/hyperlink" Target="multijurisdiction: Sustainability-Linked Derivatives %E2%80%93 ISDA's Case for Standardisation in a Globalised World - Baker McKenzie InsightPlus" TargetMode="External" Id="Rbbf263478411472e" /><Relationship Type="http://schemas.openxmlformats.org/officeDocument/2006/relationships/hyperlink" Target="https://insightplus.bakermckenzie.com/bm/banking-finance_1/international-whats-on-the-radar-for-financial-institutions-in-2024" TargetMode="External" Id="R356bc64c6f6a43e6" /><Relationship Type="http://schemas.openxmlformats.org/officeDocument/2006/relationships/hyperlink" Target="https://insightplus.bakermckenzie.com/bm/banking-finance_1/european-union-eltif-20-regime-enters-into-force" TargetMode="External" Id="Rf31e44fd2840436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