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Myanmar</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72400" cy="714375"/>
                <wp:effectExtent l="19050" t="0" r="0" b="0"/>
                <wp:docPr id="5" name="https://resourcehub.bakermckenzie.com/en/-/media/fighting-domestic-violence/reports/banners/myanmar_banner_v1.jpg?h=75&amp;amp;w=816&amp;amp;rev=6840219e407a44a8b7a5f2874d63b7a8&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myanmar_banner_v1.jpg?h=75&amp;amp;w=816&amp;amp;rev=6840219e407a44a8b7a5f2874d63b7a8&amp;sc_lang=en" descr=""/>
                        <pic:cNvPicPr>
                          <a:picLocks noChangeAspect="1" noChangeArrowheads="1"/>
                        </pic:cNvPicPr>
                      </pic:nvPicPr>
                      <pic:blipFill>
                        <a:blip r:embed="R551eebfd260f4dae"/>
                        <a:srcRect/>
                        <a:stretch>
                          <a:fillRect/>
                        </a:stretch>
                      </pic:blipFill>
                      <pic:spPr bwMode="auto">
                        <a:xfrm>
                          <a:off x="0" y="0"/>
                          <a:ext cx="7772400"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4781550" cy="971550"/>
                <wp:effectExtent l="19050" t="0" r="0" b="0"/>
                <wp:docPr id="6" name="https://resourcehub.bakermckenzie.com/en/-/media/fighting-domestic-violence/reports/quotes/myanmar_quote_v1.jpg?h=102&amp;amp;w=502&amp;amp;rev=c9731537e4324c879447336b65a86b6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myanmar_quote_v1.jpg?h=102&amp;amp;w=502&amp;amp;rev=c9731537e4324c879447336b65a86b66&amp;sc_lang=en" descr=""/>
                        <pic:cNvPicPr>
                          <a:picLocks noChangeAspect="1" noChangeArrowheads="1"/>
                        </pic:cNvPicPr>
                      </pic:nvPicPr>
                      <pic:blipFill>
                        <a:blip r:embed="R269ea65d0e3a4d1a"/>
                        <a:srcRect/>
                        <a:stretch>
                          <a:fillRect/>
                        </a:stretch>
                      </pic:blipFill>
                      <pic:spPr bwMode="auto">
                        <a:xfrm>
                          <a:off x="0" y="0"/>
                          <a:ext cx="4781550" cy="971550"/>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rev=49ba0d7996214429a95f4f9c56698bbc&amp;sc_lang=en" descr=""/>
                        <pic:cNvPicPr>
                          <a:picLocks noChangeAspect="1" noChangeArrowheads="1"/>
                        </pic:cNvPicPr>
                      </pic:nvPicPr>
                      <pic:blipFill>
                        <a:blip r:embed="Rc8718e004b614d25"/>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bd100a1051a44693">
            <w:r>
              <w:rPr>
                <w:rStyle w:val="Hyperlink"/>
              </w:rPr>
              <w:t xml:space="preserve">Myanmar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20d09efd869e44e8"/>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currently no direct laws on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Myanmar, case law is primarily based upon customary law.</w:t>
                  </w:r>
                  <w:r>
                    <w:rPr>
                      <w:color w:val="8DB3E2"/>
                      <w:vertAlign w:val="superscript"/>
                    </w:rPr>
                    <w:t xml:space="preserve">[1]</w:t>
                  </w:r>
                  <w:r>
                    <w:t xml:space="preserve"> Common law remedies for women of domestic violence can be categorized as follows:</w:t>
                  </w:r>
                </w:p>
                <w:p>
                  <w:pPr>
                    <w:pStyle w:val="BodyText"/>
                  </w:pPr>
                  <w:r>
                    <w:t xml:space="preserve">1.</w:t>
                  </w:r>
                  <w:r>
                    <w:t xml:space="preserve">	</w:t>
                  </w:r>
                  <w:r>
                    <w:t xml:space="preserve">divorce by matrimonial fault,</w:t>
                  </w:r>
                  <w:r>
                    <w:rPr>
                      <w:color w:val="8DB3E2"/>
                      <w:vertAlign w:val="superscript"/>
                    </w:rPr>
                    <w:t xml:space="preserve">[2]</w:t>
                  </w:r>
                  <w:r>
                    <w:t xml:space="preserve"> specifically the following: </w:t>
                  </w:r>
                </w:p>
                <w:p>
                  <w:pPr>
                    <w:pStyle w:val="BodyText"/>
                  </w:pPr>
                  <w:pPr>
                    <w:pStyle w:val="ListParagraph"/>
                    <w:numPr>
                      <w:ilvl w:val="0"/>
                      <w:numId w:val="13"/>
                    </w:numPr>
                  </w:pPr>
                  <w:r>
                    <w:t xml:space="preserve">ordinary cruelty</w:t>
                  </w:r>
                </w:p>
                <w:p>
                  <w:pPr>
                    <w:pStyle w:val="BodyText"/>
                  </w:pPr>
                  <w:pPr>
                    <w:pStyle w:val="ListParagraph"/>
                    <w:numPr>
                      <w:ilvl w:val="0"/>
                      <w:numId w:val="13"/>
                    </w:numPr>
                  </w:pPr>
                  <w:r>
                    <w:t xml:space="preserve">grievous cruelty</w:t>
                  </w:r>
                </w:p>
                <w:p>
                  <w:pPr>
                    <w:pStyle w:val="BodyText"/>
                  </w:pPr>
                  <w:r>
                    <w:t xml:space="preserve">2.</w:t>
                  </w:r>
                  <w:r>
                    <w:t xml:space="preserve">	</w:t>
                  </w:r>
                  <w:r>
                    <w:t xml:space="preserve">elements of fault include the following:</w:t>
                  </w:r>
                </w:p>
                <w:p>
                  <w:pPr>
                    <w:pStyle w:val="BodyText"/>
                  </w:pPr>
                  <w:pPr>
                    <w:pStyle w:val="ListParagraph"/>
                    <w:numPr>
                      <w:ilvl w:val="0"/>
                      <w:numId w:val="14"/>
                    </w:numPr>
                  </w:pPr>
                  <w:r>
                    <w:t xml:space="preserve">physical violence is a matrimonial fault</w:t>
                  </w:r>
                  <w:r>
                    <w:rPr>
                      <w:color w:val="8DB3E2"/>
                      <w:vertAlign w:val="superscript"/>
                    </w:rPr>
                    <w:t xml:space="preserve">[3]</w:t>
                  </w:r>
                  <w:r>
                    <w:t xml:space="preserve"> </w:t>
                  </w:r>
                </w:p>
                <w:p>
                  <w:pPr>
                    <w:pStyle w:val="BodyText"/>
                  </w:pPr>
                  <w:pPr>
                    <w:pStyle w:val="ListParagraph"/>
                    <w:numPr>
                      <w:ilvl w:val="0"/>
                      <w:numId w:val="14"/>
                    </w:numPr>
                  </w:pPr>
                  <w:r>
                    <w:t xml:space="preserve">isolated instance of ill-treatment or violence is not sufficient</w:t>
                  </w:r>
                  <w:r>
                    <w:rPr>
                      <w:color w:val="8DB3E2"/>
                      <w:vertAlign w:val="superscript"/>
                    </w:rPr>
                    <w:t xml:space="preserve">[4]</w:t>
                  </w:r>
                  <w:r>
                    <w:t xml:space="preserve"> </w:t>
                  </w:r>
                </w:p>
                <w:p>
                  <w:pPr>
                    <w:pStyle w:val="BodyText"/>
                  </w:pPr>
                  <w:pPr>
                    <w:pStyle w:val="ListParagraph"/>
                    <w:numPr>
                      <w:ilvl w:val="0"/>
                      <w:numId w:val="14"/>
                    </w:numPr>
                  </w:pPr>
                  <w:r>
                    <w:t xml:space="preserve">must include physical violence or infliction of mental pain with indifference to the pain caused</w:t>
                  </w:r>
                  <w:r>
                    <w:rPr>
                      <w:color w:val="8DB3E2"/>
                      <w:vertAlign w:val="superscript"/>
                    </w:rPr>
                    <w:t xml:space="preserve">[5]</w:t>
                  </w:r>
                  <w:r>
                    <w:rPr>
                      <w:color w:val="8DB3E2"/>
                    </w:rPr>
                    <w:t xml:space="preserve"> </w:t>
                  </w:r>
                </w:p>
                <w:p>
                  <w:pPr>
                    <w:pStyle w:val="BodyText"/>
                  </w:pPr>
                  <w:pPr>
                    <w:pStyle w:val="ListParagraph"/>
                    <w:numPr>
                      <w:ilvl w:val="0"/>
                      <w:numId w:val="14"/>
                    </w:numPr>
                  </w:pPr>
                  <w:r>
                    <w:t xml:space="preserve">cruelty includes any act likely to endanger the body, life or health of the victim</w:t>
                  </w:r>
                  <w:r>
                    <w:rPr>
                      <w:color w:val="8DB3E2"/>
                      <w:vertAlign w:val="superscript"/>
                    </w:rPr>
                    <w:t xml:space="preserve">[6]</w:t>
                  </w:r>
                  <w:r>
                    <w:t xml:space="preserve"> </w:t>
                  </w:r>
                </w:p>
                <w:p>
                  <w:pPr>
                    <w:pStyle w:val="BodyText"/>
                  </w:pPr>
                  <w:r>
                    <w:t xml:space="preserve">3.</w:t>
                  </w:r>
                  <w:r>
                    <w:t xml:space="preserve">	</w:t>
                  </w:r>
                  <w:r>
                    <w:t xml:space="preserve">remedies</w:t>
                  </w:r>
                  <w:r>
                    <w:rPr>
                      <w:color w:val="8DB3E2"/>
                      <w:vertAlign w:val="superscript"/>
                    </w:rPr>
                    <w:t xml:space="preserve">[7]</w:t>
                  </w:r>
                  <w:r>
                    <w:t xml:space="preserve"> include the following:</w:t>
                  </w:r>
                </w:p>
                <w:p>
                  <w:pPr>
                    <w:pStyle w:val="BodyText"/>
                  </w:pPr>
                  <w:pPr>
                    <w:pStyle w:val="ListParagraph"/>
                    <w:numPr>
                      <w:ilvl w:val="0"/>
                      <w:numId w:val="15"/>
                    </w:numPr>
                  </w:pPr>
                  <w:r>
                    <w:t xml:space="preserve">right to divorce</w:t>
                  </w:r>
                </w:p>
                <w:p>
                  <w:pPr>
                    <w:pStyle w:val="BodyText"/>
                  </w:pPr>
                  <w:pPr>
                    <w:pStyle w:val="ListParagraph"/>
                    <w:numPr>
                      <w:ilvl w:val="0"/>
                      <w:numId w:val="15"/>
                    </w:numPr>
                  </w:pPr>
                  <w:r>
                    <w:t xml:space="preserve">husband who commits grievous matrimonial fault waives all joint property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Cases of domestic violence will be brought within the normal court structure. However, cases of rape have been successfully prosecuted in military tribunals.</w:t>
                  </w:r>
                  <w:r>
                    <w:rPr>
                      <w:color w:val="8DB3E2"/>
                      <w:vertAlign w:val="superscript"/>
                    </w:rPr>
                    <w:t xml:space="preserve">[8]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currently no direct laws on domestic violence and no laws that allow women to seek restraining orders against violent men. However, one remedy is to file for divorce under Myanmar customary law.</w:t>
                  </w:r>
                </w:p>
                <w:p>
                  <w:pPr>
                    <w:pStyle w:val="BodyText"/>
                  </w:pPr>
                  <w:r>
                    <w:t xml:space="preserve">Some protection is provided under the Penal Code as it relates to all people, but there are no specific provisions for domestic violence.</w:t>
                  </w:r>
                  <w:r>
                    <w:rPr>
                      <w:color w:val="8DB3E2"/>
                      <w:vertAlign w:val="superscript"/>
                    </w:rPr>
                    <w:t xml:space="preserve">[9]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Women and girls in Myanmar may be protected from violence under criminal laws and special criminal laws, including the Penal Code, which has sections referring to offenses against women such as causing miscarriage (Sections 312-314 of the Penal Code), criminal force and assault (Sections 349-358 of the Penal Code), kidnapping, abduction, slavery and forced labor, rape and offenses relating to marriage.</w:t>
                  </w:r>
                  <w:r>
                    <w:rPr>
                      <w:color w:val="8DB3E2"/>
                      <w:vertAlign w:val="superscript"/>
                    </w:rPr>
                    <w:t xml:space="preserve">[10]</w:t>
                  </w:r>
                  <w:r>
                    <w:t xml:space="preserve"> See Sections 319-338 of the Penal Code for offenses relating to hurt caused. Special laws in Myanmar include the Myanmar Buddhist Women's Social Marriage Law (2015) and the Monogamy Law (2015). </w:t>
                  </w:r>
                </w:p>
                <w:p>
                  <w:pPr>
                    <w:pStyle w:val="BodyText"/>
                  </w:pPr>
                  <w:r>
                    <w:t xml:space="preserve">An average of 10% (247 out of 1,059) of domestic violence cases were reported to the police and subsequently reached court; the rest were resolved through mediation. Of the 247 cases that reached trial, most were investigated and the perpetrators were charged with between three months and 10 years of imprisonment.</w:t>
                  </w:r>
                  <w:r>
                    <w:rPr>
                      <w:color w:val="8DB3E2"/>
                      <w:vertAlign w:val="superscript"/>
                    </w:rPr>
                    <w:t xml:space="preserve">[11]</w:t>
                  </w:r>
                </w:p>
                <w:p>
                  <w:pPr>
                    <w:pStyle w:val="BodyText"/>
                  </w:pPr>
                  <w:r>
                    <w:t xml:space="preserve">Based on Myanmar's 1861 Penal Code, rape can only be committed by men, and the definition of "rape" constitutes vaginal penetration only with no acknowledgement of martial rape.</w:t>
                  </w:r>
                  <w:r>
                    <w:rPr>
                      <w:color w:val="8DB3E2"/>
                      <w:vertAlign w:val="superscript"/>
                    </w:rPr>
                    <w:t xml:space="preserve">[12]</w:t>
                  </w:r>
                  <w:r>
                    <w:t xml:space="preserve"> The 1861 Penal Code at 376/377 states the following: </w:t>
                  </w:r>
                </w:p>
                <w:p>
                  <w:pPr>
                    <w:pStyle w:val="BodyText"/>
                  </w:pPr>
                  <w:pPr>
                    <w:ind w:left="705"/>
                  </w:pPr>
                  <w:r>
                    <w:t xml:space="preserve">376. Whoever commits rape shall be punished with transportation for life, or with imprisonment of either description for a term which may extend to ten years, and shall also be liable to fine, unless the woman raped is his own wife and is not under twelve years of age, in which case he shall be punished with imprisonment of either description for a term which may extend to two years, or with fine, or with both.</w:t>
                  </w:r>
                </w:p>
                <w:p>
                  <w:pPr>
                    <w:pStyle w:val="BodyText"/>
                  </w:pPr>
                  <w:pPr>
                    <w:ind w:left="705"/>
                  </w:pPr>
                  <w:r>
                    <w:t xml:space="preserve">Of Unnatural Offences</w:t>
                  </w:r>
                </w:p>
                <w:p>
                  <w:pPr>
                    <w:pStyle w:val="BodyText"/>
                  </w:pPr>
                  <w:pPr>
                    <w:ind w:left="705"/>
                  </w:pPr>
                  <w:r>
                    <w:t xml:space="preserve">377. Whoever voluntarily has carnal intercourse against the order of nature with any man, woman or animal shall be punished with transportation for life, or with imprisonment of either description for a term which may extend to ten years, and shall also be liable to fine.</w:t>
                  </w:r>
                  <w:r>
                    <w:rPr>
                      <w:color w:val="8DB3E2"/>
                      <w:vertAlign w:val="superscript"/>
                    </w:rPr>
                    <w:t xml:space="preserve">[13]</w:t>
                  </w:r>
                </w:p>
                <w:p>
                  <w:pPr>
                    <w:pStyle w:val="BodyText"/>
                  </w:pPr>
                  <w:r>
                    <w:t xml:space="preserve">Article 445 of the Constitution of Myanmar grants immunity to state and military personnel for crimes.</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Myanmar acceded to the United Nations Convention on the Elimination of All Forms of Discrimination Against Women (CEDAW) in 1997, under which the state is obligated to support the elimination of all discriminatory laws and practices against women, including gender-based violence.</w:t>
                  </w:r>
                  <w:r>
                    <w:rPr>
                      <w:color w:val="8DB3E2"/>
                      <w:vertAlign w:val="superscript"/>
                    </w:rPr>
                    <w:t xml:space="preserve">[15]</w:t>
                  </w:r>
                </w:p>
                <w:p>
                  <w:pPr>
                    <w:pStyle w:val="BodyText"/>
                  </w:pPr>
                  <w:r>
                    <w:t xml:space="preserve">However, the state has not adopted the definition of domestic violence from the framework of the CEDAW, adopted in 1979 by the United Nations General Assembly.</w:t>
                  </w:r>
                  <w:r>
                    <w:rPr>
                      <w:color w:val="8DB3E2"/>
                      <w:vertAlign w:val="superscript"/>
                    </w:rPr>
                    <w:t xml:space="preserve">[16]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rPr>
                      <w:color w:val="8DB3E2"/>
                      <w:vertAlign w:val="superscript"/>
                    </w:rPr>
                    <w:t xml:space="preserve">[17]</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Myanmar has ratified the 1979 Convention.</w:t>
                  </w:r>
                  <w:r>
                    <w:rPr>
                      <w:color w:val="8DB3E2"/>
                      <w:vertAlign w:val="superscript"/>
                    </w:rPr>
                    <w:t xml:space="preserve">[18]</w:t>
                  </w:r>
                  <w:r>
                    <w:t xml:space="preserve"> However, Myanmar has made very little progress in addressing the attributes of General Comment No. 35, for example:</w:t>
                  </w:r>
                </w:p>
                <w:p>
                  <w:pPr>
                    <w:pStyle w:val="BodyText"/>
                  </w:pPr>
                  <w:pPr>
                    <w:pStyle w:val="ListParagraph"/>
                    <w:numPr>
                      <w:ilvl w:val="0"/>
                      <w:numId w:val="12"/>
                    </w:numPr>
                  </w:pPr>
                  <w:r>
                    <w:t xml:space="preserve">The Penal Code remains outdated and does not criminalize unwanted sexual touching or sexual harassment outside the context of sexual intercourse, and it only prohibits and punishes marital rape if the victim is 14 years older or younger.</w:t>
                  </w:r>
                  <w:r>
                    <w:rPr>
                      <w:color w:val="8DB3E2"/>
                      <w:vertAlign w:val="superscript"/>
                    </w:rPr>
                    <w:t xml:space="preserve">[19]</w:t>
                  </w:r>
                  <w:r>
                    <w:t xml:space="preserve"> </w:t>
                  </w:r>
                </w:p>
                <w:p>
                  <w:pPr>
                    <w:pStyle w:val="BodyText"/>
                  </w:pPr>
                  <w:pPr>
                    <w:pStyle w:val="ListParagraph"/>
                    <w:numPr>
                      <w:ilvl w:val="0"/>
                      <w:numId w:val="12"/>
                    </w:numPr>
                  </w:pPr>
                  <w:r>
                    <w:t xml:space="preserve">Article 445 of the Constitution of Myanmar prohibits initiating proceedings against any member of the government for official acts. This operates as a guarantee of immunity.</w:t>
                  </w:r>
                  <w:r>
                    <w:rPr>
                      <w:color w:val="8DB3E2"/>
                      <w:vertAlign w:val="superscript"/>
                    </w:rPr>
                    <w:t xml:space="preserve">[20]</w:t>
                  </w:r>
                  <w:r>
                    <w:t xml:space="preserve"> </w:t>
                  </w:r>
                </w:p>
                <w:p>
                  <w:pPr>
                    <w:pStyle w:val="BodyText"/>
                  </w:pPr>
                  <w:pPr>
                    <w:pStyle w:val="ListParagraph"/>
                    <w:numPr>
                      <w:ilvl w:val="0"/>
                      <w:numId w:val="12"/>
                    </w:numPr>
                  </w:pPr>
                  <w:r>
                    <w:t xml:space="preserve">There is no specific law criminalizing domestic violence.</w:t>
                  </w:r>
                  <w:r>
                    <w:rPr>
                      <w:color w:val="8DB3E2"/>
                      <w:vertAlign w:val="superscript"/>
                    </w:rPr>
                    <w:t xml:space="preserve">[21]</w:t>
                  </w:r>
                </w:p>
                <w:p>
                  <w:pPr>
                    <w:pStyle w:val="BodyText"/>
                  </w:pPr>
                  <w:pPr>
                    <w:pStyle w:val="ListParagraph"/>
                    <w:numPr>
                      <w:ilvl w:val="0"/>
                      <w:numId w:val="12"/>
                    </w:numPr>
                  </w:pPr>
                  <w:r>
                    <w:t xml:space="preserve">The enactment of "laws on the protection of race and religion" operate to continue discrimination against women.</w:t>
                  </w:r>
                  <w:r>
                    <w:rPr>
                      <w:color w:val="8DB3E2"/>
                      <w:vertAlign w:val="superscript"/>
                    </w:rPr>
                    <w:t xml:space="preserve">[22]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state has not adopted the CEDAW's definition of domestic violence. Instead, the state adopted the Myanmar Buddhist Women's Social Marriage Law (2015) rather than endorsing the Protection of Violence Against Women Law.</w:t>
                  </w:r>
                  <w:r>
                    <w:rPr>
                      <w:color w:val="8DB3E2"/>
                      <w:vertAlign w:val="superscript"/>
                    </w:rPr>
                    <w:t xml:space="preserve">[23]</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defined.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does not appear to be defined. However, sexual violence includes rape and sexual harassment. Sexual harassment includes forgery/cheating for sex, sexual abuse, sexual exploitation, attempts to rape and psychological/emotional violence against women by their intimate partners, relatives, friends or unknown men.</w:t>
                  </w:r>
                  <w:r>
                    <w:rPr>
                      <w:color w:val="8DB3E2"/>
                      <w:vertAlign w:val="superscript"/>
                    </w:rPr>
                    <w:t xml:space="preserve">[24]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defined.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defined.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defined.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defined.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state denies the existence of martial rape.</w:t>
                  </w:r>
                  <w:r>
                    <w:rPr>
                      <w:color w:val="8DB3E2"/>
                      <w:vertAlign w:val="superscript"/>
                    </w:rPr>
                    <w:t xml:space="preserve">[25]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do not appear to be available to victims of domestic abuse in Myanmar. However, there are limited services and shelters for survivors of domestic violence, including around 50 to 70 counseling centers run by the Myanmar Women's Affairs Federation (MWAF).</w:t>
                  </w:r>
                  <w:r>
                    <w:rPr>
                      <w:color w:val="8DB3E2"/>
                      <w:vertAlign w:val="superscript"/>
                    </w:rPr>
                    <w:t xml:space="preserve">[26]</w:t>
                  </w:r>
                  <w:r>
                    <w:t xml:space="preserve"> These organizations also provide legal protection, necessary suggestions, referrals and a lawyer if needed.</w:t>
                  </w:r>
                  <w:r>
                    <w:rPr>
                      <w:color w:val="8DB3E2"/>
                      <w:vertAlign w:val="superscript"/>
                    </w:rPr>
                    <w:t xml:space="preserve">[27]</w:t>
                  </w:r>
                </w:p>
                <w:p>
                  <w:pPr>
                    <w:pStyle w:val="BodyText"/>
                  </w:pPr>
                  <w:r>
                    <w:t xml:space="preserve">There are community-based centers in four townships in collaboration with the Department of Social Welfare and the MWAF. These centers provide resources to record cases to bring actions to the police or the courts.</w:t>
                  </w:r>
                  <w:r>
                    <w:rPr>
                      <w:color w:val="8DB3E2"/>
                      <w:vertAlign w:val="superscript"/>
                    </w:rPr>
                    <w:t xml:space="preserve">[28]</w:t>
                  </w:r>
                </w:p>
                <w:p>
                  <w:pPr>
                    <w:pStyle w:val="BodyText"/>
                  </w:pPr>
                  <w:r>
                    <w:t xml:space="preserve">In Myanmar, there is a recognized need for civil protections for victims of domestic abuse because none currently exists. These recommendations include the following:</w:t>
                  </w:r>
                  <w:r>
                    <w:rPr>
                      <w:color w:val="8DB3E2"/>
                      <w:vertAlign w:val="superscript"/>
                    </w:rPr>
                    <w:t xml:space="preserve">[29]</w:t>
                  </w:r>
                </w:p>
                <w:p>
                  <w:pPr>
                    <w:pStyle w:val="BodyText"/>
                  </w:pPr>
                  <w:pPr>
                    <w:pStyle w:val="ListParagraph"/>
                    <w:numPr>
                      <w:ilvl w:val="0"/>
                      <w:numId w:val="11"/>
                    </w:numPr>
                  </w:pPr>
                  <w:r>
                    <w:t xml:space="preserve">A basic package of frontline response for violence against women (including emergency health services, police responses, legal aid, shelters/safe spaces and psychosocial counseling/support) should be made available and accessible to all women.</w:t>
                  </w:r>
                </w:p>
                <w:p>
                  <w:pPr>
                    <w:pStyle w:val="BodyText"/>
                  </w:pPr>
                  <w:pPr>
                    <w:pStyle w:val="ListParagraph"/>
                    <w:numPr>
                      <w:ilvl w:val="0"/>
                      <w:numId w:val="11"/>
                    </w:numPr>
                  </w:pPr>
                  <w:r>
                    <w:t xml:space="preserve">Courtroom and legal proceedings should be gender-sensitive and survivor-centered (for example, by allowing private and separate interviews for survivors and perpetrators of violence by trained interviewers; ensuring safe spaces and security guarantees for survivors before, during and after judicial processes; and witness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N/A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case is reported to the police as a recognizable offense, an information report is made. After an investigation, the case is filed to the court through the law officer. In practice, complaints to the police for domestic violence are rarely filed because of cultural reasons.</w:t>
                  </w:r>
                  <w:r>
                    <w:rPr>
                      <w:color w:val="8DB3E2"/>
                      <w:vertAlign w:val="superscript"/>
                    </w:rPr>
                    <w:t xml:space="preserve">[30]</w:t>
                  </w:r>
                </w:p>
                <w:p>
                  <w:pPr>
                    <w:pStyle w:val="BodyText"/>
                  </w:pPr>
                  <w:r>
                    <w:t xml:space="preserve">With respect to domestic violence cases, if police officers receive information of a cognizable offense, such as wounding or grievous harm by a weapon, murder or culpable homicide, they have to take prompt action. If the offense is non-cognizable, such as minor harm, criminal intimidation or assault, they can refuse to make a complaint at the police station and may direct the complainant to the court. In practice, the police are usually unwilling to make a complaint for quarreling or harm between spouses because they regard these cases as "daily life" social problems. Even if the police receive information about the domestic violence, they usually try to reconcile the spouses and release the accused person.</w:t>
                  </w:r>
                  <w:r>
                    <w:rPr>
                      <w:color w:val="8DB3E2"/>
                      <w:vertAlign w:val="superscript"/>
                    </w:rPr>
                    <w:t xml:space="preserve">[31]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appears to be limited or no law firm involvement.</w:t>
                  </w:r>
                  <w:r>
                    <w:rPr>
                      <w:color w:val="8DB3E2"/>
                      <w:vertAlign w:val="superscript"/>
                    </w:rPr>
                    <w:t xml:space="preserve">[32]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rape cases, the courts require full evidence, including evidence of vaginal injury, semen, clothes and medical records. Judges may also ask the victim to fully describe the incident and they may ask a witness to appear in person.</w:t>
                  </w:r>
                  <w:r>
                    <w:rPr>
                      <w:color w:val="8DB3E2"/>
                      <w:vertAlign w:val="superscript"/>
                    </w:rPr>
                    <w:t xml:space="preserve">[33]</w:t>
                  </w:r>
                </w:p>
                <w:p>
                  <w:pPr>
                    <w:pStyle w:val="BodyText"/>
                  </w:pPr>
                  <w:r>
                    <w:t xml:space="preserve">The process related to the medical diagnosis of rape is complex. When rape is reported, the assistant surgeon has to inform the forensic doctor. The first step is to check for physical injuries on the face and the body. The second step is to check for vaginal injuries, semen or other related evidence. Any collected evidence is then sent to the Department of Medical Research, which is only located in two areas: Yangon and Mandalay. Adding to this, a medical examiner is not assigned at every hospital. The process of evidential checks takes between two and three months or sometimes longer. There is no special room and no separate medical person assigned for treatment or counseling. Because of the long process, some survivors cannot afford to access justice.</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Regarding rape cases, the Code of Criminal Procedure does not contain any specific provisions relating to the prosecution or testimony.</w:t>
                  </w:r>
                </w:p>
                <w:p>
                  <w:pPr>
                    <w:pStyle w:val="BodyText"/>
                  </w:pPr>
                  <w:r>
                    <w:t xml:space="preserve">There are few, if any, legislative protections for taking evidence from a victim of rape, including no appropriate protection during a witness's examination.</w:t>
                  </w:r>
                </w:p>
                <w:p>
                  <w:pPr>
                    <w:pStyle w:val="BodyText"/>
                  </w:pPr>
                  <w:r>
                    <w:t xml:space="preserve">In cases of rape and sexual assault, government hospitals must obtain permission from the local police before they are permitted to examine and treat patients.</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Unfortunately, as of 2020, little has been done to help women and girls in this regard.</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Section 5.3.5.</w:t>
                  </w:r>
                  <w:r>
                    <w:rPr>
                      <w:color w:val="8DB3E2"/>
                      <w:vertAlign w:val="superscript"/>
                    </w:rPr>
                    <w:t xml:space="preserve">[37]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Section 182 of the Penal Code prohibits providing information to a public servant that one knows to be false with the intent or knowing it is likely that the public servant will use the power of their office to cause injury or annoyance to the other person.</w:t>
                  </w:r>
                  <w:r>
                    <w:rPr>
                      <w:color w:val="8DB3E2"/>
                      <w:vertAlign w:val="superscript"/>
                    </w:rPr>
                    <w:t xml:space="preserve">[38]</w:t>
                  </w:r>
                  <w:r>
                    <w:t xml:space="preserve"> The penalty for this is imprisonment for no more than six months or a fine of MMK 1,000, or both.</w:t>
                  </w:r>
                  <w:r>
                    <w:rPr>
                      <w:color w:val="8DB3E2"/>
                      <w:vertAlign w:val="superscript"/>
                    </w:rPr>
                    <w:t xml:space="preserve">[39]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Rape is defined as sexual intercourse with a woman in the following ways:</w:t>
                  </w:r>
                  <w:r>
                    <w:rPr>
                      <w:color w:val="8DB3E2"/>
                      <w:vertAlign w:val="superscript"/>
                    </w:rPr>
                    <w:t xml:space="preserve">[40]</w:t>
                  </w:r>
                </w:p>
                <w:p>
                  <w:pPr>
                    <w:pStyle w:val="BodyText"/>
                  </w:pPr>
                  <w:pPr>
                    <w:pStyle w:val="ListParagraph"/>
                    <w:numPr>
                      <w:ilvl w:val="0"/>
                      <w:numId w:val="10"/>
                    </w:numPr>
                  </w:pPr>
                  <w:r>
                    <w:t xml:space="preserve">against her will</w:t>
                  </w:r>
                </w:p>
                <w:p>
                  <w:pPr>
                    <w:pStyle w:val="BodyText"/>
                  </w:pPr>
                  <w:pPr>
                    <w:pStyle w:val="ListParagraph"/>
                    <w:numPr>
                      <w:ilvl w:val="0"/>
                      <w:numId w:val="10"/>
                    </w:numPr>
                  </w:pPr>
                  <w:r>
                    <w:t xml:space="preserve">without her consent</w:t>
                  </w:r>
                </w:p>
                <w:p>
                  <w:pPr>
                    <w:pStyle w:val="BodyText"/>
                  </w:pPr>
                  <w:pPr>
                    <w:pStyle w:val="ListParagraph"/>
                    <w:numPr>
                      <w:ilvl w:val="0"/>
                      <w:numId w:val="10"/>
                    </w:numPr>
                  </w:pPr>
                  <w:r>
                    <w:t xml:space="preserve">with her consent but if it has been obtained by threat of death or harm</w:t>
                  </w:r>
                </w:p>
                <w:p>
                  <w:pPr>
                    <w:pStyle w:val="BodyText"/>
                  </w:pPr>
                  <w:pPr>
                    <w:pStyle w:val="ListParagraph"/>
                    <w:numPr>
                      <w:ilvl w:val="0"/>
                      <w:numId w:val="10"/>
                    </w:numPr>
                  </w:pPr>
                  <w:r>
                    <w:t xml:space="preserve">with or without consent when she is under 14 years old</w:t>
                  </w:r>
                </w:p>
                <w:p>
                  <w:pPr>
                    <w:pStyle w:val="BodyText"/>
                  </w:pPr>
                  <w:r>
                    <w:t xml:space="preserve">Sexual intercourse by a man with his wife is not rape if the wife is not under 13 years 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Self-defense</w:t>
                  </w:r>
                </w:p>
                <w:p>
                  <w:pPr>
                    <w:pStyle w:val="BodyText"/>
                  </w:pPr>
                  <w:r>
                    <w:t xml:space="preserve">Self-defense is a recognized criminal defense, as every person has the right to defend his/her own body and his/her property.</w:t>
                  </w:r>
                  <w:r>
                    <w:rPr>
                      <w:color w:val="8DB3E2"/>
                      <w:vertAlign w:val="superscript"/>
                    </w:rPr>
                    <w:t xml:space="preserve">[41]</w:t>
                  </w:r>
                  <w:r>
                    <w:rPr>
                      <w:color w:val="8DB3E2"/>
                    </w:rPr>
                    <w:t xml:space="preserve"> </w:t>
                  </w:r>
                </w:p>
                <w:p>
                  <w:pPr>
                    <w:pStyle w:val="BodyText"/>
                  </w:pPr>
                  <w:r>
                    <w:rPr>
                      <w:b/>
                    </w:rPr>
                    <w:t xml:space="preserve">Insanity</w:t>
                  </w:r>
                  <w:r>
                    <w:t xml:space="preserve"> </w:t>
                  </w:r>
                </w:p>
                <w:p>
                  <w:pPr>
                    <w:pStyle w:val="BodyText"/>
                  </w:pPr>
                  <w:r>
                    <w:t xml:space="preserve">Insanity is a recognized criminal defense in Myanmar.</w:t>
                  </w:r>
                  <w:r>
                    <w:rPr>
                      <w:color w:val="8DB3E2"/>
                      <w:vertAlign w:val="superscript"/>
                    </w:rPr>
                    <w:t xml:space="preserve">[42]</w:t>
                  </w:r>
                  <w:r>
                    <w:t xml:space="preserve"> Nothing is an offense that is done by a person who is, at the time of doing it, due to the unsoundness of mind, incapable of knowing the nature of the act, or that what they are doing is either wrong or contrary to law.</w:t>
                  </w:r>
                  <w:r>
                    <w:rPr>
                      <w:color w:val="8DB3E2"/>
                      <w:vertAlign w:val="superscript"/>
                    </w:rPr>
                    <w:t xml:space="preserve">[43]</w:t>
                  </w:r>
                </w:p>
                <w:p>
                  <w:pPr>
                    <w:pStyle w:val="BodyText"/>
                  </w:pPr>
                  <w:r>
                    <w:t xml:space="preserve">However, a successful "unsoundness of mind" defense may lead to detention. The accused may be adjudged a threat to themselves or others. It may be common for such an accused person to be subject to compulsory detention and placed on a special therapeutic regime, potentially for an indefinite amount of time.</w:t>
                  </w:r>
                  <w:r>
                    <w:rPr>
                      <w:color w:val="8DB3E2"/>
                      <w:vertAlign w:val="superscript"/>
                    </w:rPr>
                    <w:t xml:space="preserve">[44]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hyperlink w:history="true" r:id="R1e48cea21b78483e">
                    <w:r>
                      <w:rPr>
                        <w:rStyle w:val="Hyperlink"/>
                      </w:rPr>
                      <w:t xml:space="preserve">https://meral.edu.mm/record/2018/files/Regional%20research%20intiative%20on%20human%20right.pdf</w:t>
                    </w:r>
                  </w:hyperlink>
                  <w:r>
                    <w:t xml:space="preserve">.</w:t>
                  </w:r>
                </w:p>
                <w:p>
                  <w:pPr>
                    <w:pStyle w:val="BodyText"/>
                  </w:pPr>
                  <w:r>
                    <w:rPr>
                      <w:color w:val="000000"/>
                      <w:vertAlign w:val="superscript"/>
                    </w:rPr>
                    <w:t xml:space="preserve">[2]</w:t>
                  </w:r>
                  <w:r>
                    <w:t xml:space="preserve">    </w:t>
                  </w:r>
                  <w:hyperlink w:history="true" r:id="R5d7ecb4b575e46b8">
                    <w:r>
                      <w:rPr>
                        <w:rStyle w:val="Hyperlink"/>
                      </w:rPr>
                      <w:t xml:space="preserve">https://meral.edu.mm/record/2018/files/Regional%20research%20intiative%20on%20human%20right.pdf</w:t>
                    </w:r>
                  </w:hyperlink>
                  <w:r>
                    <w:t xml:space="preserve">.</w:t>
                  </w:r>
                </w:p>
                <w:p>
                  <w:pPr>
                    <w:pStyle w:val="BodyText"/>
                  </w:pPr>
                  <w:r>
                    <w:rPr>
                      <w:color w:val="000000"/>
                      <w:vertAlign w:val="superscript"/>
                    </w:rPr>
                    <w:t xml:space="preserve">[3]</w:t>
                  </w:r>
                  <w:r>
                    <w:t xml:space="preserve">    Lahiri, S.C. Principles of Modern Burmese Law, 6th Edition, 1957, p. 97.</w:t>
                  </w:r>
                </w:p>
                <w:p>
                  <w:pPr>
                    <w:pStyle w:val="BodyText"/>
                  </w:pPr>
                  <w:r>
                    <w:rPr>
                      <w:color w:val="000000"/>
                      <w:vertAlign w:val="superscript"/>
                    </w:rPr>
                    <w:t xml:space="preserve">[4]</w:t>
                  </w:r>
                  <w:r>
                    <w:t xml:space="preserve">    DawPu(a) DawPuGyivs Mg Tun Kha 1946, BLR, P 125.</w:t>
                  </w:r>
                </w:p>
                <w:p>
                  <w:pPr>
                    <w:pStyle w:val="BodyText"/>
                  </w:pPr>
                  <w:r>
                    <w:rPr>
                      <w:color w:val="000000"/>
                      <w:vertAlign w:val="superscript"/>
                    </w:rPr>
                    <w:t xml:space="preserve">[5]</w:t>
                  </w:r>
                  <w:r>
                    <w:t xml:space="preserve">    DawPu(a) DawPuGyivs Mg Tun Kha</w:t>
                  </w:r>
                  <w:r>
                    <w:rPr>
                      <w:i/>
                    </w:rPr>
                    <w:t xml:space="preserve"> </w:t>
                  </w:r>
                  <w:r>
                    <w:t xml:space="preserve">1946, BLR, P 125.</w:t>
                  </w:r>
                </w:p>
                <w:p>
                  <w:pPr>
                    <w:pStyle w:val="BodyText"/>
                  </w:pPr>
                  <w:r>
                    <w:rPr>
                      <w:color w:val="000000"/>
                      <w:vertAlign w:val="superscript"/>
                    </w:rPr>
                    <w:t xml:space="preserve">[6]</w:t>
                  </w:r>
                  <w:r>
                    <w:t xml:space="preserve">    DawPu(a) DawPuGyivs Mg Tun Kha 1946, BLR, P 125.</w:t>
                  </w:r>
                </w:p>
                <w:p>
                  <w:pPr>
                    <w:pStyle w:val="BodyText"/>
                  </w:pPr>
                  <w:r>
                    <w:rPr>
                      <w:color w:val="000000"/>
                      <w:vertAlign w:val="superscript"/>
                    </w:rPr>
                    <w:t xml:space="preserve">[7]</w:t>
                  </w:r>
                  <w:r>
                    <w:t xml:space="preserve">    </w:t>
                  </w:r>
                  <w:hyperlink w:history="true" r:id="R72ea557b966a44f7">
                    <w:r>
                      <w:rPr>
                        <w:rStyle w:val="Hyperlink"/>
                      </w:rPr>
                      <w:t xml:space="preserve">https://meral.edu.mm/record/2018/files/Regional%20research%20intiative%20on%20human%20right.pdf</w:t>
                    </w:r>
                  </w:hyperlink>
                  <w:r>
                    <w:t xml:space="preserve">.</w:t>
                  </w:r>
                </w:p>
                <w:p>
                  <w:pPr>
                    <w:pStyle w:val="BodyText"/>
                  </w:pPr>
                  <w:r>
                    <w:rPr>
                      <w:color w:val="000000"/>
                      <w:vertAlign w:val="superscript"/>
                    </w:rPr>
                    <w:t xml:space="preserve">[8]</w:t>
                  </w:r>
                  <w:r>
                    <w:t xml:space="preserve">    </w:t>
                  </w:r>
                  <w:hyperlink w:history="true" r:id="Re5840bf8bb82407b">
                    <w:r>
                      <w:rPr>
                        <w:rStyle w:val="Hyperlink"/>
                      </w:rPr>
                      <w:t xml:space="preserve">https://www.scmp.com/video/asia/3114567/myanmar-woman-wins-legal-battle-myanmar-military-after-she-was-gang-raped</w:t>
                    </w:r>
                  </w:hyperlink>
                  <w:r>
                    <w:t xml:space="preserve">.</w:t>
                  </w:r>
                </w:p>
                <w:p>
                  <w:pPr>
                    <w:pStyle w:val="BodyText"/>
                  </w:pPr>
                  <w:r>
                    <w:rPr>
                      <w:color w:val="000000"/>
                      <w:vertAlign w:val="superscript"/>
                    </w:rPr>
                    <w:t xml:space="preserve">[9]</w:t>
                  </w:r>
                  <w:r>
                    <w:t xml:space="preserve">    </w:t>
                  </w:r>
                  <w:hyperlink w:history="true" r:id="R3bf98df2b3b14cb4">
                    <w:r>
                      <w:rPr>
                        <w:rStyle w:val="Hyperlink"/>
                      </w:rPr>
                      <w:t xml:space="preserve">https://meral.edu.mm/record/2018/files/Regional%20research%20intiative%20on%20human%20right.pdf</w:t>
                    </w:r>
                  </w:hyperlink>
                  <w:r>
                    <w:t xml:space="preserve">.</w:t>
                  </w:r>
                </w:p>
                <w:p>
                  <w:pPr>
                    <w:pStyle w:val="BodyText"/>
                  </w:pPr>
                  <w:r>
                    <w:rPr>
                      <w:color w:val="000000"/>
                      <w:vertAlign w:val="superscript"/>
                    </w:rPr>
                    <w:t xml:space="preserve">[10]</w:t>
                  </w:r>
                  <w:r>
                    <w:t xml:space="preserve">    </w:t>
                  </w:r>
                  <w:hyperlink w:history="true" r:id="Re88231a9a6f145f7">
                    <w:r>
                      <w:rPr>
                        <w:rStyle w:val="Hyperlink"/>
                      </w:rPr>
                      <w:t xml:space="preserve">https://meral.edu.mm/record/2018/files/Regional%20research%20intiative%20on%20human%20right.pdf</w:t>
                    </w:r>
                  </w:hyperlink>
                  <w:r>
                    <w:t xml:space="preserve">.</w:t>
                  </w:r>
                </w:p>
                <w:p>
                  <w:pPr>
                    <w:pStyle w:val="BodyText"/>
                  </w:pPr>
                  <w:r>
                    <w:rPr>
                      <w:color w:val="000000"/>
                      <w:vertAlign w:val="superscript"/>
                    </w:rPr>
                    <w:t xml:space="preserve">[11]</w:t>
                  </w:r>
                  <w:r>
                    <w:rPr>
                      <w:vertAlign w:val="superscript"/>
                    </w:rPr>
                    <w:t xml:space="preserve"> </w:t>
                  </w:r>
                  <w:r>
                    <w:t xml:space="preserve">   </w:t>
                  </w:r>
                  <w:hyperlink w:history="true" r:id="R9202875a337e4510">
                    <w:r>
                      <w:rPr>
                        <w:rStyle w:val="Hyperlink"/>
                      </w:rPr>
                      <w:t xml:space="preserve">https://tbinternet.ohchr.org/Treaties/CEDAW/Shared%20Documents/MMR/INT_CEDAW_NGO_MMR_24232_E.pdf</w:t>
                    </w:r>
                  </w:hyperlink>
                  <w:r>
                    <w:t xml:space="preserve">, pages 4-5</w:t>
                  </w:r>
                  <w:r>
                    <w:t xml:space="preserve">.</w:t>
                  </w:r>
                </w:p>
                <w:p>
                  <w:pPr>
                    <w:pStyle w:val="BodyText"/>
                  </w:pPr>
                  <w:r>
                    <w:rPr>
                      <w:color w:val="000000"/>
                      <w:vertAlign w:val="superscript"/>
                    </w:rPr>
                    <w:t xml:space="preserve">[12]</w:t>
                  </w:r>
                  <w:r>
                    <w:t xml:space="preserve">    </w:t>
                  </w:r>
                  <w:hyperlink w:history="true" r:id="Rd45f36c72622434d">
                    <w:r>
                      <w:rPr>
                        <w:rStyle w:val="Hyperlink"/>
                      </w:rPr>
                      <w:t xml:space="preserve">http://www.ipsnews.net/2020/07/myanmars-protection-bill-falls-short-of-addressing-violence-against-women/</w:t>
                    </w:r>
                  </w:hyperlink>
                  <w:r>
                    <w:t xml:space="preserve">.</w:t>
                  </w:r>
                </w:p>
                <w:p>
                  <w:pPr>
                    <w:pStyle w:val="BodyText"/>
                  </w:pPr>
                  <w:r>
                    <w:rPr>
                      <w:color w:val="000000"/>
                      <w:vertAlign w:val="superscript"/>
                    </w:rPr>
                    <w:t xml:space="preserve">[13]</w:t>
                  </w:r>
                  <w:r>
                    <w:t xml:space="preserve">    </w:t>
                  </w:r>
                  <w:hyperlink w:history="true" r:id="R5943c850fd1c4595">
                    <w:r>
                      <w:rPr>
                        <w:rStyle w:val="Hyperlink"/>
                      </w:rPr>
                      <w:t xml:space="preserve">https://www.ilo.org/dyn/natlex/natlex4.detail?p_lang=en&amp;p_isn=61342&amp;p_country=MMR&amp;p_count=110</w:t>
                    </w:r>
                  </w:hyperlink>
                  <w:r>
                    <w:t xml:space="preserve">.</w:t>
                  </w:r>
                </w:p>
                <w:p>
                  <w:pPr>
                    <w:pStyle w:val="BodyText"/>
                  </w:pPr>
                  <w:r>
                    <w:rPr>
                      <w:color w:val="000000"/>
                      <w:vertAlign w:val="superscript"/>
                    </w:rPr>
                    <w:t xml:space="preserve">[14]</w:t>
                  </w:r>
                  <w:r>
                    <w:t xml:space="preserve">    </w:t>
                  </w:r>
                  <w:hyperlink w:history="true" r:id="Rba0ec440c7b147e1">
                    <w:r>
                      <w:rPr>
                        <w:rStyle w:val="Hyperlink"/>
                      </w:rPr>
                      <w:t xml:space="preserve">https://humanrightsinasean.info/members/myanmar/myanmars-rule-of-law-human-rights/</w:t>
                    </w:r>
                  </w:hyperlink>
                  <w:r>
                    <w:t xml:space="preserve">.</w:t>
                  </w:r>
                </w:p>
                <w:p>
                  <w:pPr>
                    <w:pStyle w:val="BodyText"/>
                  </w:pPr>
                  <w:r>
                    <w:rPr>
                      <w:color w:val="000000"/>
                      <w:vertAlign w:val="superscript"/>
                    </w:rPr>
                    <w:t xml:space="preserve">[15]</w:t>
                  </w:r>
                  <w:r>
                    <w:t xml:space="preserve">   </w:t>
                  </w:r>
                  <w:hyperlink w:history="true" r:id="R2cb80256570b4989">
                    <w:r>
                      <w:rPr>
                        <w:rStyle w:val="Hyperlink"/>
                      </w:rPr>
                      <w:t xml:space="preserve">Report_VAW_Prevention_and_Response_Services_and_Acess_in_Myanmar_AJAR_2016.pdf (themimu.info)</w:t>
                    </w:r>
                  </w:hyperlink>
                  <w:r>
                    <w:t xml:space="preserve"> at 2.</w:t>
                  </w:r>
                </w:p>
                <w:p>
                  <w:pPr>
                    <w:pStyle w:val="BodyText"/>
                  </w:pPr>
                  <w:r>
                    <w:rPr>
                      <w:color w:val="000000"/>
                      <w:vertAlign w:val="superscript"/>
                    </w:rPr>
                    <w:t xml:space="preserve">[16]</w:t>
                  </w:r>
                  <w:r>
                    <w:t xml:space="preserve">    </w:t>
                  </w:r>
                  <w:hyperlink w:history="true" r:id="Rc6f10c33df2c4200">
                    <w:r>
                      <w:rPr>
                        <w:rStyle w:val="Hyperlink"/>
                      </w:rPr>
                      <w:t xml:space="preserve">INT_CEDAW_NGO_MMR_24232_E.pdf (ohchr.org)</w:t>
                    </w:r>
                  </w:hyperlink>
                  <w:r>
                    <w:t xml:space="preserve"> at 10.</w:t>
                  </w:r>
                </w:p>
                <w:p>
                  <w:pPr>
                    <w:pStyle w:val="BodyText"/>
                  </w:pPr>
                  <w:r>
                    <w:rPr>
                      <w:color w:val="000000"/>
                      <w:vertAlign w:val="superscript"/>
                    </w:rPr>
                    <w:t xml:space="preserve">[17]</w:t>
                  </w:r>
                  <w:r>
                    <w:t xml:space="preserve">    </w:t>
                  </w:r>
                  <w:hyperlink w:history="true" r:id="R8090c5f3a8574650">
                    <w:r>
                      <w:rPr>
                        <w:rStyle w:val="Hyperlink"/>
                      </w:rPr>
                      <w:t xml:space="preserve">https://en.wikipedia.org/wiki/Istanbul_Convention</w:t>
                    </w:r>
                  </w:hyperlink>
                  <w:r>
                    <w:t xml:space="preserve">.</w:t>
                  </w:r>
                </w:p>
                <w:p>
                  <w:pPr>
                    <w:pStyle w:val="BodyText"/>
                  </w:pPr>
                  <w:r>
                    <w:rPr>
                      <w:color w:val="000000"/>
                      <w:vertAlign w:val="superscript"/>
                    </w:rPr>
                    <w:t xml:space="preserve">[18]</w:t>
                  </w:r>
                  <w:r>
                    <w:t xml:space="preserve">    </w:t>
                  </w:r>
                  <w:hyperlink w:history="true" r:id="Rc60056db365c43bd">
                    <w:r>
                      <w:rPr>
                        <w:rStyle w:val="Hyperlink"/>
                      </w:rPr>
                      <w:t xml:space="preserve">https://indicators.ohchr.org/</w:t>
                    </w:r>
                  </w:hyperlink>
                  <w:r>
                    <w:t xml:space="preserve">.</w:t>
                  </w:r>
                </w:p>
                <w:p>
                  <w:pPr>
                    <w:pStyle w:val="BodyText"/>
                  </w:pPr>
                  <w:r>
                    <w:rPr>
                      <w:color w:val="000000"/>
                      <w:vertAlign w:val="superscript"/>
                    </w:rPr>
                    <w:t xml:space="preserve">[19]</w:t>
                  </w:r>
                  <w:r>
                    <w:t xml:space="preserve">    </w:t>
                  </w:r>
                  <w:hyperlink w:history="true" r:id="Ra05d8c564bc743b8">
                    <w:r>
                      <w:rPr>
                        <w:rStyle w:val="Hyperlink"/>
                      </w:rPr>
                      <w:t xml:space="preserve">https://www.globaljusticecenter.net/documents/UPR.2Pager.pdf</w:t>
                    </w:r>
                  </w:hyperlink>
                  <w:r>
                    <w:t xml:space="preserve">.</w:t>
                  </w:r>
                </w:p>
                <w:p>
                  <w:pPr>
                    <w:pStyle w:val="BodyText"/>
                  </w:pPr>
                  <w:r>
                    <w:rPr>
                      <w:color w:val="000000"/>
                      <w:vertAlign w:val="superscript"/>
                    </w:rPr>
                    <w:t xml:space="preserve">[20]</w:t>
                  </w:r>
                  <w:r>
                    <w:t xml:space="preserve">    </w:t>
                  </w:r>
                  <w:hyperlink w:history="true" r:id="R9593db24447f449a">
                    <w:r>
                      <w:rPr>
                        <w:rStyle w:val="Hyperlink"/>
                      </w:rPr>
                      <w:t xml:space="preserve">https://www.constituteproject.org/constitution/Myanmar_2008.pdf?lang=en</w:t>
                    </w:r>
                  </w:hyperlink>
                  <w:r>
                    <w:t xml:space="preserve">.</w:t>
                  </w:r>
                </w:p>
                <w:p>
                  <w:pPr>
                    <w:pStyle w:val="BodyText"/>
                  </w:pPr>
                  <w:r>
                    <w:rPr>
                      <w:color w:val="000000"/>
                      <w:vertAlign w:val="superscript"/>
                    </w:rPr>
                    <w:t xml:space="preserve">[21]</w:t>
                  </w:r>
                  <w:r>
                    <w:t xml:space="preserve">    </w:t>
                  </w:r>
                  <w:hyperlink w:history="true" r:id="Rdff371ba40f346cd">
                    <w:r>
                      <w:rPr>
                        <w:rStyle w:val="Hyperlink"/>
                      </w:rPr>
                      <w:t xml:space="preserve">https://www.globaljusticecenter.net/documents/UPR.2Pager.pdf</w:t>
                    </w:r>
                  </w:hyperlink>
                  <w:r>
                    <w:t xml:space="preserve">.</w:t>
                  </w:r>
                </w:p>
                <w:p>
                  <w:pPr>
                    <w:pStyle w:val="BodyText"/>
                  </w:pPr>
                  <w:r>
                    <w:rPr>
                      <w:color w:val="000000"/>
                      <w:vertAlign w:val="superscript"/>
                    </w:rPr>
                    <w:t xml:space="preserve">[22]</w:t>
                  </w:r>
                  <w:r>
                    <w:t xml:space="preserve">    </w:t>
                  </w:r>
                  <w:hyperlink w:history="true" r:id="R33095ef1c5e041ac">
                    <w:r>
                      <w:rPr>
                        <w:rStyle w:val="Hyperlink"/>
                      </w:rPr>
                      <w:t xml:space="preserve">https://www.globaljusticecenter.net/documents/UPR.2Pager.pdf</w:t>
                    </w:r>
                  </w:hyperlink>
                  <w:r>
                    <w:t xml:space="preserve">.</w:t>
                  </w:r>
                </w:p>
                <w:p>
                  <w:pPr>
                    <w:pStyle w:val="BodyText"/>
                  </w:pPr>
                  <w:r>
                    <w:rPr>
                      <w:color w:val="000000"/>
                      <w:vertAlign w:val="superscript"/>
                    </w:rPr>
                    <w:t xml:space="preserve">[23]</w:t>
                  </w:r>
                  <w:r>
                    <w:t xml:space="preserve">    INT_CEDAW_NGO_MMR_24232_E.pdf, Section 3.2(e)</w:t>
                  </w:r>
                  <w:r>
                    <w:t xml:space="preserve">.</w:t>
                  </w:r>
                </w:p>
                <w:p>
                  <w:pPr>
                    <w:pStyle w:val="BodyText"/>
                  </w:pPr>
                  <w:r>
                    <w:rPr>
                      <w:color w:val="000000"/>
                      <w:vertAlign w:val="superscript"/>
                    </w:rPr>
                    <w:t xml:space="preserve">[24]</w:t>
                  </w:r>
                  <w:r>
                    <w:t xml:space="preserve">    INT_CEDAW_NGO_MMR_24232_E.pdf, Section 3.1.2(a)</w:t>
                  </w:r>
                  <w:r>
                    <w:t xml:space="preserve">.</w:t>
                  </w:r>
                </w:p>
                <w:p>
                  <w:pPr>
                    <w:pStyle w:val="BodyText"/>
                  </w:pPr>
                  <w:r>
                    <w:rPr>
                      <w:color w:val="000000"/>
                      <w:vertAlign w:val="superscript"/>
                    </w:rPr>
                    <w:t xml:space="preserve">[25]</w:t>
                  </w:r>
                  <w:r>
                    <w:t xml:space="preserve">    INT_CEDAW_NGO_MMR_24232_E.pdf, Section 3.2(a)</w:t>
                  </w:r>
                  <w:r>
                    <w:t xml:space="preserve">.</w:t>
                  </w:r>
                </w:p>
                <w:p>
                  <w:pPr>
                    <w:pStyle w:val="BodyText"/>
                  </w:pPr>
                  <w:r>
                    <w:rPr>
                      <w:color w:val="000000"/>
                      <w:vertAlign w:val="superscript"/>
                    </w:rPr>
                    <w:t xml:space="preserve">[26]</w:t>
                  </w:r>
                  <w:r>
                    <w:t xml:space="preserve">    CEDAW/C/MMR 4-5, Annex C 2 to 6</w:t>
                  </w:r>
                  <w:r>
                    <w:t xml:space="preserve">.</w:t>
                  </w:r>
                </w:p>
                <w:p>
                  <w:pPr>
                    <w:pStyle w:val="BodyText"/>
                  </w:pPr>
                  <w:r>
                    <w:rPr>
                      <w:color w:val="000000"/>
                      <w:vertAlign w:val="superscript"/>
                    </w:rPr>
                    <w:t xml:space="preserve">[27]</w:t>
                  </w:r>
                  <w:r>
                    <w:t xml:space="preserve">    CEDAW/C/MMR 4-5, paragraphs 23-24</w:t>
                  </w:r>
                  <w:r>
                    <w:t xml:space="preserve">.</w:t>
                  </w:r>
                </w:p>
                <w:p>
                  <w:pPr>
                    <w:pStyle w:val="BodyText"/>
                  </w:pPr>
                  <w:r>
                    <w:rPr>
                      <w:color w:val="000000"/>
                      <w:vertAlign w:val="superscript"/>
                    </w:rPr>
                    <w:t xml:space="preserve">[28]</w:t>
                  </w:r>
                  <w:r>
                    <w:t xml:space="preserve">    </w:t>
                  </w:r>
                  <w:hyperlink w:history="true" r:id="R68d25cd13afa4919">
                    <w:r>
                      <w:rPr>
                        <w:rStyle w:val="Hyperlink"/>
                      </w:rPr>
                      <w:t xml:space="preserve">https://tbinternet.ohchr.org/Treaties/CEDAW/Shared%20Documents/MMR/INT_CEDAW_NGO_MMR_24232_E.pdf</w:t>
                    </w:r>
                  </w:hyperlink>
                  <w:r>
                    <w:t xml:space="preserve"> at 12</w:t>
                  </w:r>
                  <w:r>
                    <w:t xml:space="preserve">.</w:t>
                  </w:r>
                </w:p>
                <w:p>
                  <w:pPr>
                    <w:pStyle w:val="BodyText"/>
                  </w:pPr>
                  <w:r>
                    <w:rPr>
                      <w:color w:val="000000"/>
                      <w:vertAlign w:val="superscript"/>
                    </w:rPr>
                    <w:t xml:space="preserve">[29]</w:t>
                  </w:r>
                  <w:r>
                    <w:t xml:space="preserve">   </w:t>
                  </w:r>
                  <w:hyperlink w:history="true" r:id="R4798a0e3dceb4146">
                    <w:r>
                      <w:rPr>
                        <w:rStyle w:val="Hyperlink"/>
                      </w:rPr>
                      <w:t xml:space="preserve">Report_VAW_Prevention_and_Response_Services_and_Acess_in_Myanmar_AJAR_2016.pdf (themimu.info)</w:t>
                    </w:r>
                  </w:hyperlink>
                  <w:r>
                    <w:t xml:space="preserve"> at 46 and 51.</w:t>
                  </w:r>
                </w:p>
                <w:p>
                  <w:pPr>
                    <w:pStyle w:val="BodyText"/>
                  </w:pPr>
                  <w:r>
                    <w:rPr>
                      <w:color w:val="000000"/>
                      <w:vertAlign w:val="superscript"/>
                    </w:rPr>
                    <w:t xml:space="preserve">[30]</w:t>
                  </w:r>
                  <w:r>
                    <w:t xml:space="preserve">    </w:t>
                  </w:r>
                  <w:hyperlink w:history="true" r:id="R9ef2f1ee44a84d93">
                    <w:r>
                      <w:rPr>
                        <w:rStyle w:val="Hyperlink"/>
                      </w:rPr>
                      <w:t xml:space="preserve">https://meral.edu.mm/record/2018/files/Regional%20research%20intiative%20on%20human%20right.pdf</w:t>
                    </w:r>
                  </w:hyperlink>
                  <w:r>
                    <w:t xml:space="preserve">,</w:t>
                  </w:r>
                  <w:r>
                    <w:t xml:space="preserve"> pages 119-122.</w:t>
                  </w:r>
                </w:p>
                <w:p>
                  <w:pPr>
                    <w:pStyle w:val="BodyText"/>
                  </w:pPr>
                  <w:r>
                    <w:rPr>
                      <w:color w:val="000000"/>
                      <w:vertAlign w:val="superscript"/>
                    </w:rPr>
                    <w:t xml:space="preserve">[31]</w:t>
                  </w:r>
                  <w:r>
                    <w:t xml:space="preserve">    </w:t>
                  </w:r>
                  <w:hyperlink w:history="true" r:id="Rb0ad13369fa64019">
                    <w:r>
                      <w:rPr>
                        <w:rStyle w:val="Hyperlink"/>
                      </w:rPr>
                      <w:t xml:space="preserve">https://niigata-u.repo.nii.ac.jp/record/5272/file_preview/D_G_LK.pdf</w:t>
                    </w:r>
                  </w:hyperlink>
                  <w:r>
                    <w:t xml:space="preserve">, pages 156-158.</w:t>
                  </w:r>
                </w:p>
                <w:p>
                  <w:pPr>
                    <w:pStyle w:val="BodyText"/>
                  </w:pPr>
                  <w:r>
                    <w:rPr>
                      <w:color w:val="000000"/>
                      <w:vertAlign w:val="superscript"/>
                    </w:rPr>
                    <w:t xml:space="preserve">[32]</w:t>
                  </w:r>
                  <w:r>
                    <w:t xml:space="preserve">    </w:t>
                  </w:r>
                  <w:hyperlink w:history="true" r:id="R8b635a5ed4da440d">
                    <w:r>
                      <w:rPr>
                        <w:rStyle w:val="Hyperlink"/>
                      </w:rPr>
                      <w:t xml:space="preserve">Working to support access to justice for women in Myanmar</w:t>
                    </w:r>
                  </w:hyperlink>
                  <w:r>
                    <w:t xml:space="preserve"> and </w:t>
                  </w:r>
                  <w:hyperlink w:history="true" r:id="Rd6fa3f383a5d4d3b">
                    <w:r>
                      <w:rPr>
                        <w:rStyle w:val="Hyperlink"/>
                      </w:rPr>
                      <w:t xml:space="preserve">https://www.cba.org › Intern-Stories › Field-Experiences</w:t>
                    </w:r>
                  </w:hyperlink>
                  <w:r>
                    <w:t xml:space="preserve">.</w:t>
                  </w:r>
                </w:p>
                <w:p>
                  <w:pPr>
                    <w:pStyle w:val="BodyText"/>
                  </w:pPr>
                  <w:r>
                    <w:rPr>
                      <w:color w:val="000000"/>
                      <w:vertAlign w:val="superscript"/>
                    </w:rPr>
                    <w:t xml:space="preserve">[33]</w:t>
                  </w:r>
                  <w:r>
                    <w:t xml:space="preserve">    </w:t>
                  </w:r>
                  <w:hyperlink w:history="true" r:id="R2a4045e482c04ce4">
                    <w:r>
                      <w:rPr>
                        <w:rStyle w:val="Hyperlink"/>
                      </w:rPr>
                      <w:t xml:space="preserve">https://tbinternet.ohchr.org/Treaties/CEDAW/Shared%20Documents/MMR/INT_CEDAW_NGO_MMR_24232_E.pdf</w:t>
                    </w:r>
                  </w:hyperlink>
                  <w:r>
                    <w:t xml:space="preserve">.</w:t>
                  </w:r>
                </w:p>
                <w:p>
                  <w:pPr>
                    <w:pStyle w:val="BodyText"/>
                  </w:pPr>
                  <w:r>
                    <w:rPr>
                      <w:color w:val="000000"/>
                      <w:vertAlign w:val="superscript"/>
                    </w:rPr>
                    <w:t xml:space="preserve">[34]</w:t>
                  </w:r>
                  <w:r>
                    <w:rPr>
                      <w:vertAlign w:val="superscript"/>
                    </w:rPr>
                    <w:t xml:space="preserve"> </w:t>
                  </w:r>
                  <w:r>
                    <w:t xml:space="preserve">   </w:t>
                  </w:r>
                  <w:hyperlink w:history="true" r:id="Re5525dbaf2284601">
                    <w:r>
                      <w:rPr>
                        <w:rStyle w:val="Hyperlink"/>
                      </w:rPr>
                      <w:t xml:space="preserve">https://tbinternet.ohchr.org/Treaties/CEDAW/Shared%20Documents/MMR/INT_CEDAW_NGO_MMR_24232_E.pdf</w:t>
                    </w:r>
                  </w:hyperlink>
                  <w:r>
                    <w:t xml:space="preserve">,</w:t>
                  </w:r>
                  <w:r>
                    <w:t xml:space="preserve"> p. 8</w:t>
                  </w:r>
                  <w:r>
                    <w:t xml:space="preserve">.</w:t>
                  </w:r>
                </w:p>
                <w:p>
                  <w:pPr>
                    <w:pStyle w:val="BodyText"/>
                  </w:pPr>
                  <w:r>
                    <w:rPr>
                      <w:color w:val="000000"/>
                      <w:vertAlign w:val="superscript"/>
                    </w:rPr>
                    <w:t xml:space="preserve">[35]</w:t>
                  </w:r>
                  <w:r>
                    <w:t xml:space="preserve">    </w:t>
                  </w:r>
                  <w:hyperlink w:history="true" r:id="R39972bcce7e74985">
                    <w:r>
                      <w:rPr>
                        <w:rStyle w:val="Hyperlink"/>
                      </w:rPr>
                      <w:t xml:space="preserve">https://www.burmalibrary.org/docs20/Myanmar_Law+CEDAW-en-red.pdf</w:t>
                    </w:r>
                  </w:hyperlink>
                  <w:r>
                    <w:t xml:space="preserve">, p. 8</w:t>
                  </w:r>
                  <w:r>
                    <w:t xml:space="preserve">.</w:t>
                  </w:r>
                </w:p>
                <w:p>
                  <w:pPr>
                    <w:pStyle w:val="BodyText"/>
                  </w:pPr>
                  <w:r>
                    <w:rPr>
                      <w:color w:val="000000"/>
                      <w:vertAlign w:val="superscript"/>
                    </w:rPr>
                    <w:t xml:space="preserve">[36]</w:t>
                  </w:r>
                  <w:r>
                    <w:t xml:space="preserve">    </w:t>
                  </w:r>
                  <w:hyperlink w:history="true" r:id="R34aa0946e8fc4a2f">
                    <w:r>
                      <w:rPr>
                        <w:rStyle w:val="Hyperlink"/>
                      </w:rPr>
                      <w:t xml:space="preserve">https://niigata-u.repo.nii.ac.jp/record/5272/file_preview/D_G_LK.pdf</w:t>
                    </w:r>
                  </w:hyperlink>
                  <w:r>
                    <w:t xml:space="preserve">.</w:t>
                  </w:r>
                </w:p>
                <w:p>
                  <w:pPr>
                    <w:pStyle w:val="BodyText"/>
                  </w:pPr>
                  <w:r>
                    <w:rPr>
                      <w:color w:val="000000"/>
                      <w:vertAlign w:val="superscript"/>
                    </w:rPr>
                    <w:t xml:space="preserve">[37]</w:t>
                  </w:r>
                  <w:r>
                    <w:t xml:space="preserve">    </w:t>
                  </w:r>
                  <w:hyperlink w:history="true" r:id="R7fbbdd465ca847be">
                    <w:r>
                      <w:rPr>
                        <w:rStyle w:val="Hyperlink"/>
                      </w:rPr>
                      <w:t xml:space="preserve">https://www.myjusticemyanmar.org/ibj-myanmar-criminal-defense-practice-manual</w:t>
                    </w:r>
                  </w:hyperlink>
                  <w:r>
                    <w:t xml:space="preserve">.</w:t>
                  </w:r>
                </w:p>
                <w:p>
                  <w:pPr>
                    <w:pStyle w:val="BodyText"/>
                  </w:pPr>
                  <w:r>
                    <w:rPr>
                      <w:color w:val="000000"/>
                      <w:vertAlign w:val="superscript"/>
                    </w:rPr>
                    <w:t xml:space="preserve">[38]</w:t>
                  </w:r>
                  <w:r>
                    <w:t xml:space="preserve">    </w:t>
                  </w:r>
                  <w:hyperlink w:history="true" r:id="R456648703d5445c8">
                    <w:r>
                      <w:rPr>
                        <w:rStyle w:val="Hyperlink"/>
                      </w:rPr>
                      <w:t xml:space="preserve">https://www.ilo.org/dyn/natlex/natlex4.detail?p_lang=en&amp;p_isn=61342&amp;p_country=MMR&amp;p_count=110</w:t>
                    </w:r>
                  </w:hyperlink>
                  <w:r>
                    <w:t xml:space="preserve">.</w:t>
                  </w:r>
                </w:p>
                <w:p>
                  <w:pPr>
                    <w:pStyle w:val="BodyText"/>
                  </w:pPr>
                  <w:r>
                    <w:rPr>
                      <w:color w:val="000000"/>
                      <w:vertAlign w:val="superscript"/>
                    </w:rPr>
                    <w:t xml:space="preserve">[39]</w:t>
                  </w:r>
                  <w:r>
                    <w:t xml:space="preserve">    Section 182 of the Penal Code</w:t>
                  </w:r>
                  <w:r>
                    <w:t xml:space="preserve">.</w:t>
                  </w:r>
                </w:p>
                <w:p>
                  <w:pPr>
                    <w:pStyle w:val="BodyText"/>
                  </w:pPr>
                  <w:r>
                    <w:rPr>
                      <w:color w:val="000000"/>
                      <w:vertAlign w:val="superscript"/>
                    </w:rPr>
                    <w:t xml:space="preserve">[40]</w:t>
                  </w:r>
                  <w:r>
                    <w:t xml:space="preserve">    Section 375 of the Penal Code</w:t>
                  </w:r>
                  <w:r>
                    <w:t xml:space="preserve">.</w:t>
                  </w:r>
                </w:p>
                <w:p>
                  <w:pPr>
                    <w:pStyle w:val="BodyText"/>
                  </w:pPr>
                  <w:r>
                    <w:rPr>
                      <w:color w:val="000000"/>
                      <w:vertAlign w:val="superscript"/>
                    </w:rPr>
                    <w:t xml:space="preserve">[41]</w:t>
                  </w:r>
                  <w:r>
                    <w:t xml:space="preserve">    "The Burma Code," Vol. VIII, Sections 96-97; </w:t>
                  </w:r>
                  <w:hyperlink w:history="true" r:id="Ra8d0b31f7fd94fa0">
                    <w:r>
                      <w:rPr>
                        <w:rStyle w:val="Hyperlink"/>
                      </w:rPr>
                      <w:t xml:space="preserve">https://www.ilo.org/dyn/natlex/natlex4.detail?p_lang=en&amp;p_isn=61342&amp;p_country=MMR&amp;p_count=110</w:t>
                    </w:r>
                  </w:hyperlink>
                  <w:r>
                    <w:t xml:space="preserve">.</w:t>
                  </w:r>
                </w:p>
                <w:p>
                  <w:pPr>
                    <w:pStyle w:val="BodyText"/>
                  </w:pPr>
                  <w:r>
                    <w:rPr>
                      <w:color w:val="000000"/>
                      <w:vertAlign w:val="superscript"/>
                    </w:rPr>
                    <w:t xml:space="preserve">[42]</w:t>
                  </w:r>
                  <w:r>
                    <w:t xml:space="preserve">    "The Burma Code," Vol. VIII, Section 84.</w:t>
                  </w:r>
                </w:p>
                <w:p>
                  <w:pPr>
                    <w:pStyle w:val="BodyText"/>
                  </w:pPr>
                  <w:r>
                    <w:rPr>
                      <w:color w:val="000000"/>
                      <w:vertAlign w:val="superscript"/>
                    </w:rPr>
                    <w:t xml:space="preserve">[43]</w:t>
                  </w:r>
                  <w:r>
                    <w:t xml:space="preserve">    </w:t>
                  </w:r>
                  <w:hyperlink w:history="true" r:id="R597f1fe1322f47c4">
                    <w:r>
                      <w:rPr>
                        <w:rStyle w:val="Hyperlink"/>
                      </w:rPr>
                      <w:t xml:space="preserve">https://www.ilo.org/dyn/natlex/natlex4.detail?p_lang=en&amp;p_isn=61342&amp;p_country=MMR&amp;p_count=110</w:t>
                    </w:r>
                  </w:hyperlink>
                  <w:r>
                    <w:t xml:space="preserve">.</w:t>
                  </w:r>
                </w:p>
                <w:p>
                  <w:pPr>
                    <w:pStyle w:val="BodyText"/>
                  </w:pPr>
                  <w:r>
                    <w:rPr>
                      <w:vertAlign w:val="superscript"/>
                    </w:rPr>
                    <w:t xml:space="preserve">[44]</w:t>
                  </w:r>
                  <w:r>
                    <w:rPr>
                      <w:vertAlign w:val="superscript"/>
                    </w:rPr>
                    <w:t xml:space="preserve"> </w:t>
                  </w:r>
                  <w:r>
                    <w:t xml:space="preserve">    </w:t>
                  </w:r>
                  <w:r>
                    <w:t xml:space="preserve">Lunacy Act Chapter XXVII, paragraphs 844-859. CrPC Section 471; </w:t>
                  </w:r>
                  <w:hyperlink w:history="true" r:id="R16fcac7299444714">
                    <w:r>
                      <w:rPr>
                        <w:rStyle w:val="Hyperlink"/>
                      </w:rPr>
                      <w:t xml:space="preserve">https://www.ibj.org/wp_main/wp-content/uploads/2020/04/Myanmar-Defender-Manual-English.pdf</w:t>
                    </w:r>
                  </w:hyperlink>
                  <w:r>
                    <w:t xml:space="preserve">, p. 163.</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3"/>
    <w:lvlOverride w:ilvl="0">
      <w:startOverride w:val="1"/>
    </w:lvlOverride>
  </w:num>
  <w:num w:numId="14">
    <w:abstractNumId w:val="33"/>
    <w:lvlOverride w:ilvl="0">
      <w:startOverride w:val="1"/>
    </w:lvlOverride>
  </w:num>
  <w:num w:numId="15">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551eebfd260f4dae" /><Relationship Type="http://schemas.openxmlformats.org/officeDocument/2006/relationships/image" Target="/media/image2.jpg" Id="R269ea65d0e3a4d1a" /><Relationship Type="http://schemas.openxmlformats.org/officeDocument/2006/relationships/image" Target="/media/image3.jpg" Id="Rc8718e004b614d25" /><Relationship Type="http://schemas.openxmlformats.org/officeDocument/2006/relationships/hyperlink" Target="https://resourcehub.bakermckenzie.com/en/-/media/fighting-domestic-violence/reports/reports/2021_fdv_myanmar.pdf?rev=b77c56bd1dca4fd78332ed26292cf545&amp;sc_lang=en" TargetMode="External" Id="Rbd100a1051a44693" /><Relationship Type="http://schemas.openxmlformats.org/officeDocument/2006/relationships/image" Target="/media/image4.jpg" Id="R20d09efd869e44e8" /><Relationship Type="http://schemas.openxmlformats.org/officeDocument/2006/relationships/hyperlink" Target="https://meral.edu.mm/record/2018/files/Regional%20research%20intiative%20on%20human%20right.pdf" TargetMode="External" Id="R1e48cea21b78483e" /><Relationship Type="http://schemas.openxmlformats.org/officeDocument/2006/relationships/hyperlink" Target="https://meral.edu.mm/record/2018/files/Regional%20research%20intiative%20on%20human%20right.pdf" TargetMode="External" Id="R5d7ecb4b575e46b8" /><Relationship Type="http://schemas.openxmlformats.org/officeDocument/2006/relationships/hyperlink" Target="https://meral.edu.mm/record/2018/files/Regional%20research%20intiative%20on%20human%20right.pdf" TargetMode="External" Id="R72ea557b966a44f7" /><Relationship Type="http://schemas.openxmlformats.org/officeDocument/2006/relationships/hyperlink" Target="https://www.scmp.com/video/asia/3114567/myanmar-woman-wins-legal-battle-myanmar-military-after-she-was-gang-raped" TargetMode="External" Id="Re5840bf8bb82407b" /><Relationship Type="http://schemas.openxmlformats.org/officeDocument/2006/relationships/hyperlink" Target="https://meral.edu.mm/record/2018/files/Regional%20research%20intiative%20on%20human%20right.pdf" TargetMode="External" Id="R3bf98df2b3b14cb4" /><Relationship Type="http://schemas.openxmlformats.org/officeDocument/2006/relationships/hyperlink" Target="https://meral.edu.mm/record/2018/files/Regional%20research%20intiative%20on%20human%20right.pdf" TargetMode="External" Id="Re88231a9a6f145f7" /><Relationship Type="http://schemas.openxmlformats.org/officeDocument/2006/relationships/hyperlink" Target="https://tbinternet.ohchr.org/Treaties/CEDAW/Shared%20Documents/MMR/INT_CEDAW_NGO_MMR_24232_E.pdf" TargetMode="External" Id="R9202875a337e4510" /><Relationship Type="http://schemas.openxmlformats.org/officeDocument/2006/relationships/hyperlink" Target="http://www.ipsnews.net/2020/07/myanmars-protection-bill-falls-short-of-addressing-violence-against-women/" TargetMode="External" Id="Rd45f36c72622434d" /><Relationship Type="http://schemas.openxmlformats.org/officeDocument/2006/relationships/hyperlink" Target="https://www.ilo.org/dyn/natlex/natlex4.detail?p_lang=en&amp;amp;p_isn=61342&amp;amp;p_country=MMR&amp;amp;p_count=110" TargetMode="External" Id="R5943c850fd1c4595" /><Relationship Type="http://schemas.openxmlformats.org/officeDocument/2006/relationships/hyperlink" Target="https://humanrightsinasean.info/members/myanmar/myanmars-rule-of-law-human-rights/" TargetMode="External" Id="Rba0ec440c7b147e1" /><Relationship Type="http://schemas.openxmlformats.org/officeDocument/2006/relationships/hyperlink" Target="https://themimu.info/sites/themimu.info/files/documents/Report_VAW_Prevention_and_Response_Services_and_Acess_in_Myanmar_AJAR_2016.pdf" TargetMode="External" Id="R2cb80256570b4989" /><Relationship Type="http://schemas.openxmlformats.org/officeDocument/2006/relationships/hyperlink" Target="https://tbinternet.ohchr.org/Treaties/CEDAW/Shared%20Documents/MMR/INT_CEDAW_NGO_MMR_24232_E.pdf" TargetMode="External" Id="Rc6f10c33df2c4200" /><Relationship Type="http://schemas.openxmlformats.org/officeDocument/2006/relationships/hyperlink" Target="https://en.wikipedia.org/wiki/Istanbul_Convention" TargetMode="External" Id="R8090c5f3a8574650" /><Relationship Type="http://schemas.openxmlformats.org/officeDocument/2006/relationships/hyperlink" Target="https://indicators.ohchr.org/" TargetMode="External" Id="Rc60056db365c43bd" /><Relationship Type="http://schemas.openxmlformats.org/officeDocument/2006/relationships/hyperlink" Target="https://www.globaljusticecenter.net/documents/UPR.2Pager.pdf" TargetMode="External" Id="Ra05d8c564bc743b8" /><Relationship Type="http://schemas.openxmlformats.org/officeDocument/2006/relationships/hyperlink" Target="https://www.constituteproject.org/constitution/Myanmar_2008.pdf?lang=en" TargetMode="External" Id="R9593db24447f449a" /><Relationship Type="http://schemas.openxmlformats.org/officeDocument/2006/relationships/hyperlink" Target="https://www.globaljusticecenter.net/documents/UPR.2Pager.pdf" TargetMode="External" Id="Rdff371ba40f346cd" /><Relationship Type="http://schemas.openxmlformats.org/officeDocument/2006/relationships/hyperlink" Target="https://www.globaljusticecenter.net/documents/UPR.2Pager.pdf" TargetMode="External" Id="R33095ef1c5e041ac" /><Relationship Type="http://schemas.openxmlformats.org/officeDocument/2006/relationships/hyperlink" Target="https://tbinternet.ohchr.org/Treaties/CEDAW/Shared%20Documents/MMR/INT_CEDAW_NGO_MMR_24232_E.pdf" TargetMode="External" Id="R68d25cd13afa4919" /><Relationship Type="http://schemas.openxmlformats.org/officeDocument/2006/relationships/hyperlink" Target="https://themimu.info/sites/themimu.info/files/documents/Report_VAW_Prevention_and_Response_Services_and_Acess_in_Myanmar_AJAR_2016.pdf" TargetMode="External" Id="R4798a0e3dceb4146" /><Relationship Type="http://schemas.openxmlformats.org/officeDocument/2006/relationships/hyperlink" Target="https://meral.edu.mm/record/2018/files/Regional%20research%20intiative%20on%20human%20right.pdf" TargetMode="External" Id="R9ef2f1ee44a84d93" /><Relationship Type="http://schemas.openxmlformats.org/officeDocument/2006/relationships/hyperlink" Target="https://niigata-u.repo.nii.ac.jp/record/5272/file_preview/D_G_LK.pdf" TargetMode="External" Id="Rb0ad13369fa64019" /><Relationship Type="http://schemas.openxmlformats.org/officeDocument/2006/relationships/hyperlink" Target="https://www.cba.org/CBA-International-Initiatives/Young-Lawyers-International-Program/Intern-Stories/Field-Experiences/Working-to-support-access-to-justice-for-women-in" TargetMode="External" Id="R8b635a5ed4da440d" /><Relationship Type="http://schemas.openxmlformats.org/officeDocument/2006/relationships/hyperlink" Target="https://www.cba.org/CBA-International-Initiatives/Young-Lawyers-International-Program/Intern-Stories/Field-Experiences/Working-to-support-access-to-justice-for-women-in" TargetMode="External" Id="Rd6fa3f383a5d4d3b" /><Relationship Type="http://schemas.openxmlformats.org/officeDocument/2006/relationships/hyperlink" Target="https://tbinternet.ohchr.org/Treaties/CEDAW/Shared%20Documents/MMR/INT_CEDAW_NGO_MMR_24232_E.pdf" TargetMode="External" Id="R2a4045e482c04ce4" /><Relationship Type="http://schemas.openxmlformats.org/officeDocument/2006/relationships/hyperlink" Target="https://tbinternet.ohchr.org/Treaties/CEDAW/Shared%20Documents/MMR/INT_CEDAW_NGO_MMR_24232_E.pdf" TargetMode="External" Id="Re5525dbaf2284601" /><Relationship Type="http://schemas.openxmlformats.org/officeDocument/2006/relationships/hyperlink" Target="https://www.burmalibrary.org/docs20/Myanmar_Law+CEDAW-en-red.pdf" TargetMode="External" Id="R39972bcce7e74985" /><Relationship Type="http://schemas.openxmlformats.org/officeDocument/2006/relationships/hyperlink" Target="https://niigata-u.repo.nii.ac.jp/record/5272/file_preview/D_G_LK.pdf" TargetMode="External" Id="R34aa0946e8fc4a2f" /><Relationship Type="http://schemas.openxmlformats.org/officeDocument/2006/relationships/hyperlink" Target="https://www.myjusticemyanmar.org/ibj-myanmar-criminal-defense-practice-manual" TargetMode="External" Id="R7fbbdd465ca847be" /><Relationship Type="http://schemas.openxmlformats.org/officeDocument/2006/relationships/hyperlink" Target="https://www.ilo.org/dyn/natlex/natlex4.detail?p_lang=en&amp;amp;p_isn=61342&amp;amp;p_country=MMR&amp;amp;p_count=110" TargetMode="External" Id="R456648703d5445c8" /><Relationship Type="http://schemas.openxmlformats.org/officeDocument/2006/relationships/hyperlink" Target="https://www.ilo.org/dyn/natlex/natlex4.detail?p_lang=en&amp;amp;p_isn=61342&amp;amp;p_country=MMR&amp;amp;p_count=110" TargetMode="External" Id="Ra8d0b31f7fd94fa0" /><Relationship Type="http://schemas.openxmlformats.org/officeDocument/2006/relationships/hyperlink" Target="https://www.ilo.org/dyn/natlex/natlex4.detail?p_lang=en&amp;amp;p_isn=61342&amp;amp;p_country=MMR&amp;amp;p_count=110" TargetMode="External" Id="R597f1fe1322f47c4" /><Relationship Type="http://schemas.openxmlformats.org/officeDocument/2006/relationships/hyperlink" Target="https://www.ibj.org/wp_main/wp-content/uploads/2020/04/Myanmar-Defender-Manual-English.pdf" TargetMode="External" Id="R16fcac7299444714" /><Relationship Type="http://schemas.openxmlformats.org/officeDocument/2006/relationships/hyperlink" Target="file:///U:/Active/2020%20Pro-Bono%20GRW/Reports/010.%20Final/Myanmar/2021_FDV_Myanmar.DOCX#_edn4" TargetMode="External" Id="R7640e1f6ed54415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