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Netherlands</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legal due diligence work streams in the Netherlands (although largely depending on the agreed scope, the business of the target and the structure of the transaction) include corporate title checks, commercial contracts (e.g., customer, supplier and distribution agreements), financing agreements (e.g., bank and shareholder loans), real estate (owned and leased), employment and pension matters, IP, IT, data protection, regulatory/public law, environmental law and litigation.</w:t>
                  </w:r>
                </w:p>
                <w:p>
                  <w:pPr>
                    <w:pStyle w:val="BodyText"/>
                  </w:pPr>
                  <w:r>
                    <w:t xml:space="preserve">Compliance, particularly relating to anti-bribery, corruption, money laundering, competition law and environmental, social and governance matters, but also cybersecurity and artificial intelligence  receive increased attention in due diligence exercises.</w:t>
                  </w:r>
                </w:p>
                <w:p>
                  <w:pPr>
                    <w:pStyle w:val="BodyText"/>
                  </w:pPr>
                  <w:r>
                    <w:t xml:space="preserve">Legal due diligence is typically limited to reviewing documents in a virtual data room, sometimes enhanced by expert interviews. It is common for a seller to provide a vendor due diligence report or a legal fact book as part of the information granted to bidders in auction sale processes.</w:t>
                  </w:r>
                </w:p>
                <w:p>
                  <w:pPr>
                    <w:pStyle w:val="BodyText"/>
                  </w:pPr>
                  <w:r>
                    <w:t xml:space="preserve">Issues identified in the due diligence are typically dealt with by: (i) having them rectified by the seller before signing/closing (e.g., obtaining waivers from third parties if change-of-control provisions have been identified in commercial contracts): (ii) drawing up specific indemnities regarding specific known risks identified in the course of the due diligence (e.g., environmental risks or ongoing litigation); or (iii) preparing general representations and warranties (e.g., existence and ownership of title to sold shares).</w:t>
                  </w:r>
                </w:p>
                <w:p>
                  <w:pPr>
                    <w:pStyle w:val="BodyText"/>
                  </w:pPr>
                  <w:r>
                    <w:rPr>
                      <w:b/>
                    </w:rPr>
                    <w:t xml:space="preserve">Pricing and payment</w:t>
                  </w:r>
                </w:p>
                <w:p>
                  <w:pPr>
                    <w:pStyle w:val="BodyText"/>
                  </w:pPr>
                  <w:r>
                    <w:t xml:space="preserve">There are generally no restrictions regarding the pricing or the payment of the purchase price from a legal perspective. The purchase price is most commonly (but not mandatorily) paid in euro to the trust account of the civil-law notary in the Netherlands who will execute the deed of transfer of shares in the target company. This civil-law notary will then hold the received funds for the buyer until the deed of transfer of shares has been executed. At that point, the notary will hold the funds for the account of the seller(s), a bank (in the case of debt repayment) and/or other third parties, after which the funds will be wired to these parties, all in accordance with a funds flow or notary letter.</w:t>
                  </w:r>
                </w:p>
                <w:p>
                  <w:pPr>
                    <w:pStyle w:val="BodyText"/>
                  </w:pPr>
                  <w:r>
                    <w:rPr>
                      <w:b/>
                    </w:rPr>
                    <w:t xml:space="preserve">Signing/closing</w:t>
                  </w:r>
                </w:p>
                <w:p>
                  <w:pPr>
                    <w:pStyle w:val="BodyText"/>
                  </w:pPr>
                  <w:r>
                    <w:rPr>
                      <w:i/>
                    </w:rPr>
                    <w:t xml:space="preserve">Share sale</w:t>
                  </w:r>
                </w:p>
                <w:p>
                  <w:pPr>
                    <w:pStyle w:val="BodyText"/>
                  </w:pPr>
                  <w:r>
                    <w:t xml:space="preserve">In the Netherlands, a transfer of shares is only effected when executing an official deed of transfer before a civil-law notary in the Netherlands. It is possible to include the share purchase agreement in the deed of transfer (if the agreement is straightforward). However, this occurs rarely and it is common practice to sign a separate share purchase agreement between the buyer and the seller in which the commercial arrangements between the parties are reflected.</w:t>
                  </w:r>
                </w:p>
                <w:p>
                  <w:pPr>
                    <w:pStyle w:val="BodyText"/>
                  </w:pPr>
                  <w:r>
                    <w:rPr>
                      <w:i/>
                    </w:rPr>
                    <w:t xml:space="preserve">Asset sale</w:t>
                  </w:r>
                </w:p>
                <w:p>
                  <w:pPr>
                    <w:pStyle w:val="BodyText"/>
                  </w:pPr>
                  <w:r>
                    <w:t xml:space="preserve">Save for shares, real estate, large vessels and planes, no notarial deed is required to transfer assets. Assets can be transferred by means of an asset purchase agreement, taking into account the specific transfer requirements that apply to a certain type of asset (e.g. physical delivery for physical inventory, counterparty consent for contractual arrangements,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Netherlands has a mandatory and suspensory foreign investment screening procedure, which means that transactions that meet the relevant criteria need to be notified to the relevant authority and cleared before they can be completed. For further information, see the more detailed section on "Foreign investment restrictions".</w:t>
                  </w:r>
                </w:p>
                <w:p>
                  <w:pPr>
                    <w:pStyle w:val="BodyText"/>
                  </w:pPr>
                  <w:r>
                    <w:rPr>
                      <w:b/>
                    </w:rPr>
                    <w:t xml:space="preserve">Antitrust/merger control</w:t>
                  </w:r>
                </w:p>
                <w:p>
                  <w:pPr>
                    <w:pStyle w:val="BodyText"/>
                  </w:pPr>
                  <w:r>
                    <w:t xml:space="preserve">The Netherlands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 With the use of a call-in mechanism, the European Commission can request prior notification of otherwise non-notifiable concentrations where it has indications that foreign subsidies were granted to the parties in the past three years, assessing factors such as the transaction’s competitive impact, any strategic economic relevance, and the risk of a distortion.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Method of transfer under local law</w:t>
                  </w:r>
                </w:p>
                <w:p>
                  <w:pPr>
                    <w:pStyle w:val="BodyText"/>
                  </w:pPr>
                  <w:r>
                    <w:rPr>
                      <w:i/>
                    </w:rPr>
                    <w:t xml:space="preserve">Share deal</w:t>
                  </w:r>
                </w:p>
                <w:p>
                  <w:pPr>
                    <w:pStyle w:val="BodyText"/>
                  </w:pPr>
                  <w:r>
                    <w:t xml:space="preserve">In a share purchase, all rights, duties and liabilities owed by, or to, the target company's employees continue to be owed by, or to, the target company, also after the acquisition. For the employees of the target company, nothing will change as a consequence other than an ownership change of their employer. In a share deal, all benefit contracts (e.g., pension, insurance and payroll) will need to be reviewed to assess whether such benefits remain applicable after closing or need to be renewed or replaced from closing.</w:t>
                  </w:r>
                </w:p>
                <w:p>
                  <w:pPr>
                    <w:pStyle w:val="BodyText"/>
                  </w:pPr>
                  <w:r>
                    <w:rPr>
                      <w:i/>
                    </w:rPr>
                    <w:t xml:space="preserve">Asset deal</w:t>
                  </w:r>
                </w:p>
                <w:p>
                  <w:pPr>
                    <w:pStyle w:val="BodyText"/>
                  </w:pPr>
                  <w:r>
                    <w:t xml:space="preserve">If the asset transfer qualifies as a transfer of an undertaking within the meaning of the Dutch transfer of undertaking legislation (Sections 7:662 and further of the Dutch Civil Code), the employees of the seller's business will automatically transfer to the buyer by operation of law under their current terms and conditions of employment. Exceptions may apply to pensions and group-specific employment conditions, like equity plans, that by nature cannot be transferred to the acquiring entity.</w:t>
                  </w:r>
                </w:p>
                <w:p>
                  <w:pPr>
                    <w:pStyle w:val="BodyText"/>
                  </w:pPr>
                  <w:r>
                    <w:t xml:space="preserve">Terminations "due to a transfer of business" are prohibited by law. Terminations for non-performance or economic reasons remain possible. If the asset transfer does not qualify as a transfer of undertaking, the employees will only transfer with their consent.</w:t>
                  </w:r>
                </w:p>
                <w:p>
                  <w:pPr>
                    <w:pStyle w:val="BodyText"/>
                  </w:pPr>
                  <w:r>
                    <w:rPr>
                      <w:i/>
                    </w:rPr>
                    <w:t xml:space="preserve">Information/consultation requirements</w:t>
                  </w:r>
                </w:p>
                <w:p>
                  <w:pPr>
                    <w:pStyle w:val="BodyText"/>
                  </w:pPr>
                  <w:r>
                    <w:t xml:space="preserve">A transaction may trigger information or consultation rights toward works councils or the trade unions of both the seller and the buyer. Depending on the circumstances, the works council consultation process will generally take a couple of weeks to months. This involves, in principle, a pre-signing obligation. In practice, a signing protocol or (elaborate) condition precedent is often used to cater for these obligations.</w:t>
                  </w:r>
                </w:p>
                <w:p>
                  <w:pPr>
                    <w:pStyle w:val="BodyText"/>
                  </w:pPr>
                  <w:r>
                    <w:t xml:space="preserve">If a Dutch undertaking with 50 or more employees is involved in the acquisition, or if the undertaking forms part of a group of undertakings established in the Netherlands employing 50 or more employees, a notification to the Merger Committee of the Social and Economic Council and relevant trade unions must generally also be made. If there is no employee impact, these notifications are usually just a formality.</w:t>
                  </w:r>
                </w:p>
                <w:p>
                  <w:pPr>
                    <w:pStyle w:val="BodyText"/>
                  </w:pPr>
                  <w:r>
                    <w:rPr>
                      <w:i/>
                    </w:rPr>
                    <w:t xml:space="preserve">Pensions</w:t>
                  </w:r>
                </w:p>
                <w:p>
                  <w:pPr>
                    <w:pStyle w:val="BodyText"/>
                  </w:pPr>
                  <w:r>
                    <w:t xml:space="preserve">Pension plans and the transfer of any past pension liabilities must be considered carefully in the transaction context because defined benefit schemes still exist in the Netherlands. Indexation obligations concerning past accrued pension entitlements may trigger future liabilities. We also recommend assessing whether a mandatory industry-wide pension fund will become applicable as of closing. If this is not the case, it needs to be assessed if the pension plan can be continued from closing or if the employees need to go to a new pension provider as of closing instead. Such transfer will take time and give rise to certain risks that need to be covered in the transaction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For a buyer, the acquired shares are carried in the books at cost price. If the participation exemption is applicable, acquisition costs will be added to the fiscal cost price of the shares. This is because the acquisition costs relating to the purchase of shares that qualify for the participation exemption are not tax-deductible.</w:t>
                  </w:r>
                </w:p>
                <w:p>
                  <w:pPr>
                    <w:pStyle w:val="BodyText"/>
                  </w:pPr>
                  <w:r>
                    <w:t xml:space="preserve">A shareholding in a subsidiary generally qualifies for the Dutch participation exemption regime if the shareholding represents 5% or more of the nominal issued paid-up capital of the subsidiary, unless the subsidiary is (deemed to be) held as a passive investment and its assets comprise 50% or more of low-taxed portfolio assets (e.g., group loans or IP passively licensed within the group).</w:t>
                  </w:r>
                </w:p>
                <w:p>
                  <w:pPr>
                    <w:pStyle w:val="BodyText"/>
                  </w:pPr>
                  <w:r>
                    <w:t xml:space="preserve">For a seller, a capital gain realized on the sale of shares in a subsidiary that qualifies for the Dutch participation exemption regime is exempted from Dutch corporate income tax. Otherwise it is subject to corporate income tax.</w:t>
                  </w:r>
                </w:p>
                <w:p>
                  <w:pPr>
                    <w:pStyle w:val="BodyText"/>
                  </w:pPr>
                  <w:r>
                    <w:t xml:space="preserve">For value-added tax (VAT) purposes, transactions relating to shares and participations in other companies (e.g., acquisition, holding and sale of shares) only fall within the scope of VAT when certain conditions are met. If the acquisition of shares falls within the scope of VAT, the input VAT incurred may generally be deducted in accordance with the general rules (i.e., the pro rata calculation method). If the sale of shares falls within the scope of VAT, then it is, in principle, regarded as a VAT-exempt transaction. However, the deductibility of input VAT on costs in relation to the acquisition and sale of shares depends on each case's facts. The proposed set-up of a share deal should be carefully reviewed to mitigate the risk of non-recoverable VAT (which should constitute a hard cost in such case).</w:t>
                  </w:r>
                </w:p>
                <w:p>
                  <w:pPr>
                    <w:pStyle w:val="BodyText"/>
                  </w:pPr>
                  <w:r>
                    <w:t xml:space="preserve">The acquisition of shares in a company may be subject to real estate transfer tax (RETT) if, at the moment of the share acquisition (or at any moment within the 12 months prior to the share acquisition), more than 50% of the assets of the company consist of real estate and at least 30% of the assets of the company consist of real estate located within the Netherlands. Also, the company’s real estate – taken as a whole – must for 70% or more be conducive to the acquisition, transfer or exploitation of the real estate concerned at the moment of the share acquisition or at any moment within the 12 months prior to the share acquisition. </w:t>
                  </w:r>
                </w:p>
                <w:p>
                  <w:pPr>
                    <w:pStyle w:val="BodyText"/>
                  </w:pPr>
                  <w:r>
                    <w:rPr>
                      <w:b/>
                    </w:rPr>
                    <w:t xml:space="preserve">Asset deal</w:t>
                  </w:r>
                </w:p>
                <w:p>
                  <w:pPr>
                    <w:pStyle w:val="BodyText"/>
                  </w:pPr>
                  <w:r>
                    <w:t xml:space="preserve">For a buyer, the basis for the amortization of the acquired assets is the acquisition price minus the residual value. Acquired goodwill can be amortized at a maximum rate of 10% per year. Other business assets can be depreciated at a maximum rate of 20% per year. Depreciation on buildings is subject to specific rules.</w:t>
                  </w:r>
                </w:p>
                <w:p>
                  <w:pPr>
                    <w:pStyle w:val="BodyText"/>
                  </w:pPr>
                  <w:r>
                    <w:t xml:space="preserve">For a seller, the capital gain realized is typically subject to Dutch corporate income tax at 25.8% (2026 rate).</w:t>
                  </w:r>
                </w:p>
                <w:p>
                  <w:pPr>
                    <w:pStyle w:val="BodyText"/>
                  </w:pPr>
                  <w:r>
                    <w:t xml:space="preserve">Under certain conditions, a seller is allowed to temporarily defer the taxation of the capital gain if the seller intends to reinvest in another business asset. Any remaining tax losses remain with the seller.</w:t>
                  </w:r>
                </w:p>
                <w:p>
                  <w:pPr>
                    <w:pStyle w:val="BodyText"/>
                  </w:pPr>
                  <w:r>
                    <w:t xml:space="preserve">For VAT purposes, the transfer of assets in the context of an asset deal can qualify either as several distinct supplies of goods and services (where each of which may trigger VAT) or as the transfer of a going concern (TOGC).</w:t>
                  </w:r>
                </w:p>
                <w:p>
                  <w:pPr>
                    <w:pStyle w:val="BodyText"/>
                  </w:pPr>
                  <w:r>
                    <w:t xml:space="preserve">Whether or not a TOGC applies depends on whether specific conditions are met. A TOGC applies by law and is not optional. In the case of a TOGC, no VAT is due on the transfer of the assets and liabilities by the transferor to the transferee. Under the TOGC regime, input VAT incurred on the costs of the transaction may be deducted in accordance with the general rules for general costs (i.e., the pro rata calculation method).</w:t>
                  </w:r>
                </w:p>
                <w:p>
                  <w:pPr>
                    <w:pStyle w:val="BodyText"/>
                  </w:pPr>
                  <w:r>
                    <w:t xml:space="preserve">In general, RETT is levied on the acquisition of Dutch real estate. Under certain conditions, transfer tax exemptions may apply.</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has been implemented across a large number of jurisdictions and entered into force in the Netherlands on 31 December 2023.</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1c347927aa2c48ea">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Netherlands, typical deal structures in private M&amp;A are bilateral or (controlled) auction processes for the acquisition and disposal of shares in the share capital of private companies.</w:t>
                  </w:r>
                </w:p>
                <w:p>
                  <w:pPr>
                    <w:pStyle w:val="BodyText"/>
                  </w:pPr>
                  <w:r>
                    <w:t xml:space="preserve">Auction processes are fairly common in the Netherlands, but whether auctions are ultimately successful from a seller's perspective depends heavily on the market conditions and performance of the target company.</w:t>
                  </w:r>
                </w:p>
                <w:p>
                  <w:pPr>
                    <w:pStyle w:val="BodyText"/>
                  </w:pPr>
                  <w:r>
                    <w:t xml:space="preserve">In bilateral processes, after signing a confidentiality agreement, parties start negotiating the terms of a (usually non-binding) letter of intent or term sheet. Such document would describe the key principles of the transaction and usually also contain some form of binding exclusivity provisions.</w:t>
                  </w:r>
                </w:p>
                <w:p>
                  <w:pPr>
                    <w:pStyle w:val="BodyText"/>
                  </w:pPr>
                  <w:r>
                    <w:t xml:space="preserve">In auction processes, after signing the confidentiality agreement, bidders receive the vendor assistance documents before submitting an indicative or non-binding offer. An auction process is typically divided into multiple phases and in the second phase of the process, the bidders that have submitted the most attractive non-binding offers will have the opportunity to conduct more detailed due diligence, supported by their external advisors, before being requested to submit a binding offer. The binding offer is usually accompanied with a detailed mark-up of the key transaction documents to enable the seller to make an informed decision on the best bid, including detailed transaction terms. The final process from binding offer to signed share purchase agreement is usually very short as a seller will want to sign binding transaction documents as soon as possible after having made up its mind on the bids.</w:t>
                  </w:r>
                </w:p>
                <w:p>
                  <w:pPr>
                    <w:pStyle w:val="BodyText"/>
                  </w:pPr>
                  <w:r>
                    <w:t xml:space="preserve">Dutch insolvency law does not oblige a scheme of arrangement procedure to restructure debts outside of bankruptcy. However, </w:t>
                  </w:r>
                  <w:r>
                    <w:t xml:space="preserve">with the amendment of the Dutch Bankruptcy Act and the Act on Court Confirmation of Extrajudicial Restructuring Plans (Wet Homologatie Onderhands Akkoord ter voorkoming van faillissement (WHOA)), a scheme of arrangement procedure has become optional when a company is in financial distress and in danger of bankruptcy. The WHOA is inspired by the scheme of arrangement procedure in the US and UK, and should enable companies in financial difficulties to offer a compulsory composition to their creditors outside of bankruptcy. The composition can be initiated by the company or creditors (an expert may be appointed through the court) and offered to co-creditors and shareholders, leading to amendments of their (contractual) rights and positions. If the composition is supported by a majority of creditors and/or shareholders, the company can request the court to approve and declare the composition generally binding for all creditors and shareholders, unless the interest of certain creditors will be unreasonably damaged.</w:t>
                  </w:r>
                </w:p>
                <w:p>
                  <w:pPr>
                    <w:pStyle w:val="BodyText"/>
                  </w:pPr>
                  <w:r>
                    <w:t xml:space="preserve">Furthermore, new legislation came into effect on 15 November 2023, referred to as the Temporary Law Transparency Turbo Liquidation (Tijdelijke Wet Transparantie Turboliquidatie), and has been extended until November 2027. The legislation introduces temporary amendments to the Dutch Civil Code provisions that deal with turbo liquidation (dissolution without liquidation). </w:t>
                  </w:r>
                  <w:r>
                    <w:t xml:space="preserve">A considerable number of entrepreneurs make use of turbo liquidation, partly because it offers a quick and accessible way to dissolve a legal entity without assets. The legislation provides for an obligation of the management board to disclose certain information if the entity has been dissolved by a dissolution resolution due to the lack of assets. The financial accountability and disclosure obligations include filing the balance sheet and statement of income and expenses relating to the fiscal year in which the legal entity was dissolved with the trade register. The intention behind the legislation is to increase transparency, improve the legal protection of creditors and combat abuse more effectively.</w:t>
                  </w:r>
                </w:p>
                <w:p>
                  <w:pPr>
                    <w:pStyle w:val="BodyText"/>
                  </w:pPr>
                  <w:r>
                    <w:t xml:space="preserve">Apart from share and asset transactions, which are not mergers in a legal sense, Dutch law permits legal mergers of companies, whereby all the assets and liabilities of a company are acquired and assumed, respectively, by an existing company or by a new company formed for the purpose, while the company whose assets and liabilities have thus been acquired or assumed ceases to exist by operation of law. The shareholders of the disappearing company become shareholders of the acquiring company.</w:t>
                  </w:r>
                </w:p>
                <w:p>
                  <w:pPr>
                    <w:pStyle w:val="BodyText"/>
                  </w:pPr>
                  <w:r>
                    <w:t xml:space="preserve">The merger procedure is used primarily for intragroup reorganizations. On 1 September 2023, the Dutch Mobility Directive Implementation Act entered into force. The Dutch Mobility Directive Implementation Act governs the implementation of Directive (EU) 2019/2121 of the European Parliament and of the Council of 27 November 2019 amending (and extending) Directive (EU) 2017/1132 as regards cross-border conversions, mergers and demergers. The legislation introduced a number of important changes to cross-border mergers and introduced a legal framework for cross-border conversions and demergers. Although it was already possible to carry out cross-border conversions (and to a lesser extent demergers) based on the case-law of the Court of Justice of the European Union, a regulatory framework was lacking. This was an obstacle to the exercise of freedom of establishment within the EU, as it entailed legal fragmentation and legal uncertainty. The legislation removed this obstacle in order to make it easier to implement a cross-border conversion, merger or demerger between Dutch companies and companies organized and existing under the laws of EU member states and European Economic Area countries. </w:t>
                  </w:r>
                </w:p>
                <w:p>
                  <w:pPr>
                    <w:pStyle w:val="BodyText"/>
                  </w:pPr>
                  <w:r>
                    <w:t xml:space="preserve">A demerger is a legal act whereby either of the following applies:</w:t>
                  </w:r>
                </w:p>
                <w:p>
                  <w:pPr>
                    <w:pStyle w:val="BodyText"/>
                  </w:pPr>
                  <w:pPr>
                    <w:pStyle w:val="ListParagraph"/>
                    <w:numPr>
                      <w:ilvl w:val="0"/>
                      <w:numId w:val="11"/>
                    </w:numPr>
                  </w:pPr>
                  <w:r>
                    <w:t xml:space="preserve">All assets and liabilities of a company (which ceases to exist) are acquired and assumed respectively by two or more companies.</w:t>
                  </w:r>
                </w:p>
                <w:p>
                  <w:pPr>
                    <w:pStyle w:val="BodyText"/>
                  </w:pPr>
                  <w:pPr>
                    <w:pStyle w:val="ListParagraph"/>
                    <w:numPr>
                      <w:ilvl w:val="0"/>
                      <w:numId w:val="11"/>
                    </w:numPr>
                  </w:pPr>
                  <w:r>
                    <w:t xml:space="preserve">All or part of the assets and liabilities of a company that remains in existence are acquired and assumed, respectively, by one or more other companies, of which at least one issues shares to the shareholders of the demerging company, or of which at least one is incorporated by the demerging company.</w:t>
                  </w:r>
                </w:p>
                <w:p>
                  <w:pPr>
                    <w:pStyle w:val="BodyText"/>
                  </w:pPr>
                  <w:r>
                    <w:t xml:space="preserve">Share deals whereby a buyer acquires the shares of a company from a seller are by far the most popular in the Dutch market. However, all types of transactions (share and asset deals or legal mergers or demergers) are seen in the Dutch private M&amp;A market. The specific structuring of these transactions is largely tax-driven.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Private limited liability companies (besloten vennootschap met beperkte aansprakelijkheid or BV)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Dutch law distinguishes between two types of limited liability companies: public limited liability companies (naamloze vennootschap (NV)) and private limited liability companies (besloten vennootschap (BV)). An NV can issue (depositary receipts of): (i) registered shares; or (ii) bearer shares. A BV can only issue (depositary receipts of) registered shares, a significant feature illustrating its private character. On the other hand, a BV is exempt from some of the formal requirements of an NV. For instance, a BV does not require a minimal level of share capital to register or commence trading.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shareholder numbers.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transfer of shares in a BV or NV requires executing a notarial deed before a Dutch civil law notary in the Netherlands. This obligation does not apply to NVs whose shares or share certificates are in bearer form or are officially listed on a regulated stock exchange.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Asset transactions are normally used for tax reasons, to minimize risk (e.g., to minimize the risk of undisclosed or contingent liabilities of the target company), or to sell only a portion of a company's business.</w:t>
                  </w:r>
                </w:p>
                <w:p>
                  <w:pPr>
                    <w:pStyle w:val="BodyText"/>
                  </w:pPr>
                  <w:r>
                    <w:t xml:space="preserve">Asset transactions tend to be more complicated since each category of asset has to be transferred separately in accordance with applicable legal transfer requirements. In an asset sale, contracts with suppliers, customers and other contractual counterparties of the acquired business need to be transferred, so the co-operation or consent of those parties must be obtained (remembering that the parties can ultimately refuse to deal with a buyer and instead terminate the agreement). This means that in asset sales, there is a risk that government or other approvals, licenses and permits held by the business may be lost.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customary to enter into letters of intent (term sheets, heads of terms or any document in which the preliminary understanding of parties is laid down) during or before the negotiation phase of share or asset transactions. Letters of intent are subject to the ordinary principles of Dutch contract law and are, in principle, binding. The extent to which the parties are bound strongly depends on the specific wording or content, all circumstances during the preparation, negotiation and signing of the letter of intent, the parties' intentions and their conduct. On the basis of Dutch case law, a key factor for the court in determining whether a letter of intent is legally binding is whether parties have reached an agreement on the key terms of the intended transaction. Commonly, the letter of intent or term sheet explicitly sets out that its provisions are not intended to be legally binding but merely reflect the parties' intentions, with the exception of certain provisions that are intended to be binding. Such binding provisions would typically be: (i) cost allocation provisions; (ii) confidentiality; (iii) exclusivity; (iv) governing law; and (v) dispute resolutions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customary for a term sheet to include exclusivity provisions on the basis of which the prospective buyer is given a limited period for negotiations with the seller to reach a definitive agreement for the transaction.</w:t>
                  </w:r>
                </w:p>
                <w:p>
                  <w:pPr>
                    <w:pStyle w:val="BodyText"/>
                  </w:pPr>
                  <w:pPr>
                    <w:pStyle w:val="ListParagraph"/>
                    <w:numPr>
                      <w:ilvl w:val="0"/>
                      <w:numId w:val="10"/>
                    </w:numPr>
                  </w:pPr>
                  <w:r>
                    <w:rPr>
                      <w:b/>
                    </w:rPr>
                    <w:t xml:space="preserve">Break fee:</w:t>
                  </w:r>
                  <w:r>
                    <w:t xml:space="preserve"> Break fees are not common provisions in term sheets for private acquisitions in the Netherlands. However, penalties can be incurred for breaches of exclusivity or confidentiality provisions.</w:t>
                  </w:r>
                </w:p>
                <w:p>
                  <w:pPr>
                    <w:pStyle w:val="BodyText"/>
                  </w:pPr>
                  <w:pPr>
                    <w:pStyle w:val="ListParagraph"/>
                    <w:numPr>
                      <w:ilvl w:val="0"/>
                      <w:numId w:val="10"/>
                    </w:numPr>
                  </w:pPr>
                  <w:r>
                    <w:rPr>
                      <w:b/>
                    </w:rPr>
                    <w:t xml:space="preserve">Confidentiality:</w:t>
                  </w:r>
                  <w:r>
                    <w:t xml:space="preserve"> It is customary to include provisions on confidentiality in a term sheet related to the transaction, the parties and affiliates involved, the term sheet itself, and all other documents and information that need to be exchanged between parties in light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is mostly dealt with in the letter of intent or heads of terms, but can sometimes be separately negotiated. Confidentiality provisions are very often included in separately negotiated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Special care must be given to the principles of pre-contractual good faith under Dutch law. These principles may, under certain circumstances, mean that a party may not terminate ongoing negotiations without being liable for damages to the other involved negotiating party or parties, or even (in extreme cases only) lost profits. Whether such liability will arise in a particular case will depend on all of the relevant facts and circumstances of the matter. These circumstances include the conduct of all parties involved, their reasonable expectations and their level of professionalism (including that of their advisers). As most parties wish to eliminate any uncertainties upfront, they often opt to sign a pre-acquisition agreement, such as a letter of intent, to govern the rights and obligations during the negotiations phase. Such an agreement will usually include specific provisions stipulating that there is no binding commitment on parties and that parties are entitled to terminate the negotiations at any stage until a definitive long-form agreement has been entered into.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 free/debt free is very common. Working capital is fairly common. Net asset value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are hardly ever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 a seller's market, this is usually prepared by the seller; in a buyer's market, it is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very much depends on the size of the transaction and the balance sheet date. It is fairly common in large transactions, but rare or nonexistent in small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more common in transactions where the sellers continue to manage the target company after closing. They are less common where the seller is completely exiting. Earn-outs are often used to bridge the valuation gap.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 deposit is common to secure both purchase price adjustment and indemnification obligations of the seller under representations and warranties. As transactions on the basis of a 'locked box' purchase price mechanism are common in the Netherlands, deposits or escrows are unusual.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Uncommon as transactions are usually done on the basis of a 'locked box' purchase price and residual liability is taken care of through taking out warranty and indemnity (W&amp;I)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Sometimes break fees in larger transactions are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uncommon although this very much depends on the circumstances of the transaction and leverage of the buyer(s).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sometimes seen as a reference to sales or earnings before interest, taxes, depreciation, and amortization.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more common in certain sectors and if sellers are individuals.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waterfall provisions are uncommon.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carve-out for hiring on the basis of general advertisements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referred to as pre-completion covenants. These may conflict with competition laws so need to be carefully assessed from a competition law perspective.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private deals. There are competition law issues around potential "gun-jumping" so access rights need to be carefully assessed from a competition law perspective.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by separate agreement referred to as a disclosure letter in which updates of the data room are reflected. Notification of possible breach is seen. However, this usually has no effect on the right to terminate the agreement. As W&amp;I insurance is obtained in many deals, insurers require the seller(s) to provide a disclosure bring-down statement on closing as well.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(other than specific warranties, e.g., contract, litigation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often limited to actual knowledge and knowledge after due enquiry of a specified list of senior managers.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heavily negotiated and qualified by buyer having conducted proper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almost universal.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repetition at completion is common. It is standard in W&amp;I-insured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rare; it is not common to repeat warranties "at all times." However, it is very common to repeat warranties at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however, it is common to provide disclosure letters in which updates of the data room are reflected, also in light of W&amp;I insurer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 out for fundamental representations that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uncommon.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common cap amount is typically between 10%-50%. ‘True’ fundamental warranties, such as those relating to title to shares are almost always capped at the amount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maximum liability cap applies to all of the seller's obligations under the agreement. Other than in relation to warranties, de minimis thresholds and basket liability caps do not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Tax liability, leakage, confidentiality and noncompete undertakings or specific indemnities are often exempted. Liability under these undertakings is often not capped or made subject to a specific regime (sometimes with specific higher caps).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deductible is usually resisted.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18–24 months for business warranties is common. For fundamental warranties it is often three or five years, and for tax liabilities often seven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key warranties (e.g., title, capitalization, authority, tax, employment and environmental) as well as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considered in most deals unless either: (i) the transaction size is too small in light of the insurance premium; or (ii) it is due to particular circumstances – e.g. the target industry being heavily regulated – where it is more challenging to obtain W&amp;I insurance.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required by law that the extent of the damage is not increased by own fault.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uncommon. It is more common for parties to agree that damages be calculated on the basis of statutory Dutch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often linked to knowledge on the basis of the data room information and publicly available information from the trade registers.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 Dutch law if the target is in the Netherlands.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50/50. The Netherlands Arbitration Institute (NAI) is the most commonly used arbitration institution in the Netherlands for private M&amp;A and commercial disputes. The ICC is less frequently used in a Dutch‑only context but is sometimes selected in larger or more international transactions for neutrality or institutional preference.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There is no stamp duty. Engagement fees of the notary for the transfer of shares in a limited liability company are paid for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almost universal</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1c347927aa2c48e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