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China/Mainland China</w:t>
      </w:r>
      <w:r w:rsidR="00480329"/>
    </w:p>
    <w:p w:rsidRPr="00BC7873" w:rsidR="00BC7873" w:rsidP="00D354EF" w:rsidRDefault="00051AB4" w14:paraId="2476CC56" w14:textId="2FB25FA9">
      <w:pPr>
        <w:pStyle w:val="Title"/>
      </w:pPr>
      <w:r w:rsidRPr="00BC7873">
        <w:t>Contributors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rPr>
                  <w:sz w:val="20"/>
                </w:rPr>
                <w:t xml:space="preserve">This chapter was prepared by Baker &amp; McKenzie FenXun.</w:t>
              </w:r>
            </w:p>
            <w:p>
              <w:pPr>
                <w:pStyle w:val="BodyText"/>
              </w:pPr>
              <w:pPr>
                <w:jc w:val="both"/>
              </w:pPr>
              <w:r>
                <w:rPr>
                  <w:sz w:val="20"/>
                </w:rPr>
                <w:t xml:space="preserve">© 2025 Baker &amp; McKenzie FenXun (FTZ) Joint Operation Office. All rights reserved. Baker &amp; McKenzie FenXun (FTZ) Joint Operation Office is a joint operation between Baker &amp; McKenzie LLP, and FenXun Partners, approved by the Shanghai Justice Bureau. In accordance with the common terminology used in professional service organisations, reference to a "partner" means a person who is a partner, or equivalent, in such a law firm. This may qualify as “Attorney Advertising” requiring notice in some jurisdictions. Prior results do not guarantee a similar outcome.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