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Thailand</w:t>
      </w:r>
      <w:r w:rsidR="00480329"/>
    </w:p>
    <w:p w:rsidRPr="00BC7873" w:rsidR="00BC7873" w:rsidP="00D354EF" w:rsidRDefault="00051AB4" w14:paraId="2476CC56" w14:textId="2FB25FA9">
      <w:pPr>
        <w:pStyle w:val="Title"/>
      </w:pPr>
      <w:r w:rsidRPr="00BC7873">
        <w:t>7. Endnotes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w:t>
              </w:r>
              <w:r>
                <w:t xml:space="preserve">Summary of the FIA</w:t>
              </w:r>
              <w:r>
                <w:t xml:space="preserve">, Department of Women's Affairs and Family Development,</w:t>
              </w:r>
              <w:r>
                <w:t xml:space="preserve"> </w:t>
              </w:r>
              <w:hyperlink w:history="true" r:id="Rd4e96b00d1594df4">
                <w:r>
                  <w:rPr>
                    <w:rStyle w:val="Hyperlink"/>
                  </w:rPr>
                  <w:t xml:space="preserve">http://www.violence.in.th/publicweb/pdf/mou/saraprb62.pdf</w:t>
                </w:r>
              </w:hyperlink>
              <w:r>
                <w:t xml:space="preserve">.</w:t>
              </w:r>
            </w:p>
            <w:p>
              <w:pPr>
                <w:pStyle w:val="BodyText"/>
              </w:pPr>
              <w:r>
                <w:rPr>
                  <w:color w:val="000000"/>
                  <w:vertAlign w:val="superscript"/>
                </w:rPr>
                <w:t xml:space="preserve">[2]</w:t>
              </w:r>
              <w:r>
                <w:t xml:space="preserve">   </w:t>
              </w:r>
              <w:r>
                <w:t xml:space="preserve">Section 8, paragraph 2 of the DVA.</w:t>
              </w:r>
            </w:p>
            <w:p>
              <w:pPr>
                <w:pStyle w:val="BodyText"/>
              </w:pPr>
              <w:r>
                <w:rPr>
                  <w:color w:val="000000"/>
                  <w:vertAlign w:val="superscript"/>
                </w:rPr>
                <w:t xml:space="preserve">[3]</w:t>
              </w:r>
              <w:r>
                <w:t xml:space="preserve">   </w:t>
              </w:r>
              <w:r>
                <w:t xml:space="preserve">Section 295 of the Criminal Code. </w:t>
              </w:r>
            </w:p>
            <w:p>
              <w:pPr>
                <w:pStyle w:val="BodyText"/>
              </w:pPr>
              <w:r>
                <w:rPr>
                  <w:color w:val="000000"/>
                  <w:vertAlign w:val="superscript"/>
                </w:rPr>
                <w:t xml:space="preserve">[4]</w:t>
              </w:r>
              <w:r>
                <w:t xml:space="preserve">   </w:t>
              </w:r>
              <w:r>
                <w:t xml:space="preserve">Section 309 of the Criminal Code. </w:t>
              </w:r>
            </w:p>
            <w:p>
              <w:pPr>
                <w:pStyle w:val="BodyText"/>
              </w:pPr>
              <w:r>
                <w:rPr>
                  <w:color w:val="000000"/>
                  <w:vertAlign w:val="superscript"/>
                </w:rPr>
                <w:t xml:space="preserve">[5]</w:t>
              </w:r>
              <w:r>
                <w:t xml:space="preserve">   </w:t>
              </w:r>
              <w:r>
                <w:t xml:space="preserve">Section 271 of the Criminal Code.</w:t>
              </w:r>
            </w:p>
            <w:p>
              <w:pPr>
                <w:pStyle w:val="BodyText"/>
              </w:pPr>
              <w:r>
                <w:rPr>
                  <w:color w:val="000000"/>
                  <w:vertAlign w:val="superscript"/>
                </w:rPr>
                <w:t xml:space="preserve">[6]</w:t>
              </w:r>
              <w:r>
                <w:rPr>
                  <w:vertAlign w:val="superscript"/>
                </w:rPr>
                <w:t xml:space="preserve"> </w:t>
              </w:r>
              <w:r>
                <w:t xml:space="preserve">  </w:t>
              </w:r>
              <w:r>
                <w:t xml:space="preserve">Section 71, paragraph 3 of the </w:t>
              </w:r>
              <w:r>
                <w:t xml:space="preserve">Constitution of the Kingdom of Thailand </w:t>
              </w:r>
              <w:r>
                <w:t xml:space="preserve">B.E. 2560 (2017). </w:t>
              </w:r>
            </w:p>
            <w:p>
              <w:pPr>
                <w:pStyle w:val="BodyText"/>
              </w:pPr>
              <w:r>
                <w:rPr>
                  <w:color w:val="000000"/>
                  <w:vertAlign w:val="superscript"/>
                </w:rPr>
                <w:t xml:space="preserve">[7]</w:t>
              </w:r>
              <w:r>
                <w:t xml:space="preserve">   </w:t>
              </w:r>
              <w:r>
                <w:t xml:space="preserve">Sections 10 and 11 of the DVA.</w:t>
              </w:r>
            </w:p>
            <w:p>
              <w:pPr>
                <w:pStyle w:val="BodyText"/>
              </w:pPr>
              <w:r>
                <w:rPr>
                  <w:color w:val="000000"/>
                  <w:vertAlign w:val="superscript"/>
                </w:rPr>
                <w:t xml:space="preserve">[8]</w:t>
              </w:r>
              <w:r>
                <w:rPr>
                  <w:vertAlign w:val="superscript"/>
                </w:rPr>
                <w:t xml:space="preserve"> </w:t>
              </w:r>
              <w:r>
                <w:t xml:space="preserve">  </w:t>
              </w:r>
              <w:r>
                <w:t xml:space="preserve">Section 28 of the FIA.</w:t>
              </w:r>
            </w:p>
            <w:p>
              <w:pPr>
                <w:pStyle w:val="BodyText"/>
              </w:pPr>
              <w:r>
                <w:rPr>
                  <w:color w:val="000000"/>
                  <w:vertAlign w:val="superscript"/>
                </w:rPr>
                <w:t xml:space="preserve">[9]</w:t>
              </w:r>
              <w:r>
                <w:t xml:space="preserve">   </w:t>
              </w:r>
              <w:r>
                <w:t xml:space="preserve">Section 7 of the DVA; Section 172 of the Juvenile and Family Court and Procedure Act B.E. 2553 (2010).</w:t>
              </w:r>
            </w:p>
            <w:p>
              <w:pPr>
                <w:pStyle w:val="BodyText"/>
              </w:pPr>
              <w:r>
                <w:rPr>
                  <w:color w:val="000000"/>
                  <w:vertAlign w:val="superscript"/>
                </w:rPr>
                <w:t xml:space="preserve">[10]</w:t>
              </w:r>
              <w:r>
                <w:rPr>
                  <w:vertAlign w:val="superscript"/>
                </w:rPr>
                <w:t xml:space="preserve"> </w:t>
              </w:r>
              <w:r>
                <w:t xml:space="preserve">  </w:t>
              </w:r>
              <w:r>
                <w:t xml:space="preserve">Section 3 of the DVA. </w:t>
              </w:r>
            </w:p>
            <w:p>
              <w:pPr>
                <w:pStyle w:val="BodyText"/>
              </w:pPr>
              <w:r>
                <w:rPr>
                  <w:color w:val="000000"/>
                  <w:vertAlign w:val="superscript"/>
                </w:rPr>
                <w:t xml:space="preserve">[11]</w:t>
              </w:r>
              <w:r>
                <w:t xml:space="preserve">   </w:t>
              </w:r>
              <w:r>
                <w:t xml:space="preserve">Section 10 of the DVA. </w:t>
              </w:r>
            </w:p>
            <w:p>
              <w:pPr>
                <w:pStyle w:val="BodyText"/>
              </w:pPr>
              <w:r>
                <w:rPr>
                  <w:color w:val="000000"/>
                  <w:vertAlign w:val="superscript"/>
                </w:rPr>
                <w:t xml:space="preserve">[12]</w:t>
              </w:r>
              <w:r>
                <w:rPr>
                  <w:vertAlign w:val="superscript"/>
                </w:rPr>
                <w:t xml:space="preserve"> </w:t>
              </w:r>
              <w:r>
                <w:t xml:space="preserve">  </w:t>
              </w:r>
              <w:r>
                <w:t xml:space="preserve">Section 29(12) of the FIA.</w:t>
              </w:r>
            </w:p>
            <w:p>
              <w:pPr>
                <w:pStyle w:val="BodyText"/>
              </w:pPr>
              <w:r>
                <w:rPr>
                  <w:color w:val="000000"/>
                  <w:vertAlign w:val="superscript"/>
                </w:rPr>
                <w:t xml:space="preserve">[13]</w:t>
              </w:r>
              <w:r>
                <w:t xml:space="preserve">   </w:t>
              </w:r>
              <w:r>
                <w:t xml:space="preserve">Section 29(10) of the FIA.</w:t>
              </w:r>
            </w:p>
            <w:p>
              <w:pPr>
                <w:pStyle w:val="BodyText"/>
              </w:pPr>
              <w:r>
                <w:rPr>
                  <w:color w:val="000000"/>
                  <w:vertAlign w:val="superscript"/>
                </w:rPr>
                <w:t xml:space="preserve">[14]</w:t>
              </w:r>
              <w:r>
                <w:t xml:space="preserve">   </w:t>
              </w:r>
              <w:r>
                <w:t xml:space="preserve">Section 10 of the DVA. </w:t>
              </w:r>
            </w:p>
            <w:p>
              <w:pPr>
                <w:pStyle w:val="BodyText"/>
              </w:pPr>
              <w:r>
                <w:rPr>
                  <w:color w:val="000000"/>
                  <w:vertAlign w:val="superscript"/>
                </w:rPr>
                <w:t xml:space="preserve">[15]</w:t>
              </w:r>
              <w:r>
                <w:t xml:space="preserve">   </w:t>
              </w:r>
              <w:r>
                <w:t xml:space="preserve">Section 29(4) of the FIA.</w:t>
              </w:r>
            </w:p>
            <w:p>
              <w:pPr>
                <w:pStyle w:val="BodyText"/>
              </w:pPr>
              <w:r>
                <w:rPr>
                  <w:color w:val="000000"/>
                  <w:vertAlign w:val="superscript"/>
                </w:rPr>
                <w:t xml:space="preserve">[16]</w:t>
              </w:r>
              <w:r>
                <w:t xml:space="preserve">   </w:t>
              </w:r>
              <w:r>
                <w:t xml:space="preserve">Section 10, paragraph 2 of the DVA.</w:t>
              </w:r>
            </w:p>
            <w:p>
              <w:pPr>
                <w:pStyle w:val="BodyText"/>
              </w:pPr>
              <w:r>
                <w:rPr>
                  <w:color w:val="000000"/>
                  <w:vertAlign w:val="superscript"/>
                </w:rPr>
                <w:t xml:space="preserve">[17]</w:t>
              </w:r>
              <w:r>
                <w:t xml:space="preserve">   </w:t>
              </w:r>
              <w:r>
                <w:t xml:space="preserve">Section 37 of the FIA. </w:t>
              </w:r>
            </w:p>
            <w:p>
              <w:pPr>
                <w:pStyle w:val="BodyText"/>
              </w:pPr>
              <w:r>
                <w:rPr>
                  <w:color w:val="000000"/>
                  <w:vertAlign w:val="superscript"/>
                </w:rPr>
                <w:t xml:space="preserve">[18]</w:t>
              </w:r>
              <w:r>
                <w:t xml:space="preserve">   </w:t>
              </w:r>
              <w:r>
                <w:t xml:space="preserve">Section 6, paragraph 2 of the DVA. </w:t>
              </w:r>
            </w:p>
            <w:p>
              <w:pPr>
                <w:pStyle w:val="BodyText"/>
              </w:pPr>
              <w:r>
                <w:rPr>
                  <w:color w:val="000000"/>
                  <w:vertAlign w:val="superscript"/>
                </w:rPr>
                <w:t xml:space="preserve">[19]</w:t>
              </w:r>
              <w:r>
                <w:t xml:space="preserve">   </w:t>
              </w:r>
              <w:r>
                <w:t xml:space="preserve">Section 5 of the Criminal Procedure Code.</w:t>
              </w:r>
            </w:p>
            <w:p>
              <w:pPr>
                <w:pStyle w:val="BodyText"/>
              </w:pPr>
              <w:r>
                <w:rPr>
                  <w:color w:val="000000"/>
                  <w:vertAlign w:val="superscript"/>
                </w:rPr>
                <w:t xml:space="preserve">[20]</w:t>
              </w:r>
              <w:r>
                <w:t xml:space="preserve">   </w:t>
              </w:r>
              <w:r>
                <w:t xml:space="preserve">Section 24 of the FIA.</w:t>
              </w:r>
            </w:p>
            <w:p>
              <w:pPr>
                <w:pStyle w:val="BodyText"/>
              </w:pPr>
              <w:r>
                <w:rPr>
                  <w:color w:val="000000"/>
                  <w:vertAlign w:val="superscript"/>
                </w:rPr>
                <w:t xml:space="preserve">[21]</w:t>
              </w:r>
              <w:r>
                <w:rPr>
                  <w:vertAlign w:val="superscript"/>
                </w:rPr>
                <w:t xml:space="preserve"> </w:t>
              </w:r>
              <w:r>
                <w:t xml:space="preserve">  </w:t>
              </w:r>
              <w:r>
                <w:t xml:space="preserve">Section 10, paragraph 2 of the DVA; Sections 10, 11 and 12 of the Regulation of the </w:t>
              </w:r>
              <w:r>
                <w:t xml:space="preserve">Ministry of Social Development and Human Security on the Rules and Method of Investigation Under the Victims of Domestic Violence Protection Act </w:t>
              </w:r>
              <w:r>
                <w:t xml:space="preserve">B.E. 2550 B.E. 2551.</w:t>
              </w:r>
            </w:p>
            <w:p>
              <w:pPr>
                <w:pStyle w:val="BodyText"/>
              </w:pPr>
              <w:r>
                <w:rPr>
                  <w:color w:val="000000"/>
                  <w:vertAlign w:val="superscript"/>
                </w:rPr>
                <w:t xml:space="preserve">[22]</w:t>
              </w:r>
              <w:r>
                <w:t xml:space="preserve">   </w:t>
              </w:r>
              <w:r>
                <w:t xml:space="preserve">Section 37 of the FIA.</w:t>
              </w:r>
            </w:p>
            <w:p>
              <w:pPr>
                <w:pStyle w:val="BodyText"/>
              </w:pPr>
              <w:r>
                <w:rPr>
                  <w:color w:val="000000"/>
                  <w:vertAlign w:val="superscript"/>
                </w:rPr>
                <w:t xml:space="preserve">[23]</w:t>
              </w:r>
              <w:r>
                <w:t xml:space="preserve">   </w:t>
              </w:r>
              <w:r>
                <w:t xml:space="preserve">Section 29 of the FIA. </w:t>
              </w:r>
            </w:p>
            <w:p>
              <w:pPr>
                <w:pStyle w:val="BodyText"/>
              </w:pPr>
              <w:r>
                <w:rPr>
                  <w:color w:val="000000"/>
                  <w:vertAlign w:val="superscript"/>
                </w:rPr>
                <w:t xml:space="preserve">[24]</w:t>
              </w:r>
              <w:r>
                <w:t xml:space="preserve">   </w:t>
              </w:r>
              <w:r>
                <w:t xml:space="preserve">Section 10, paragraph 2 of the DVA. </w:t>
              </w:r>
            </w:p>
            <w:p>
              <w:pPr>
                <w:pStyle w:val="BodyText"/>
              </w:pPr>
              <w:r>
                <w:rPr>
                  <w:color w:val="000000"/>
                  <w:vertAlign w:val="superscript"/>
                </w:rPr>
                <w:t xml:space="preserve">[25]</w:t>
              </w:r>
              <w:r>
                <w:t xml:space="preserve">   </w:t>
              </w:r>
              <w:r>
                <w:t xml:space="preserve">Section 32 of the FIA.</w:t>
              </w:r>
            </w:p>
            <w:p>
              <w:pPr>
                <w:pStyle w:val="BodyText"/>
              </w:pPr>
              <w:r>
                <w:rPr>
                  <w:color w:val="000000"/>
                  <w:vertAlign w:val="superscript"/>
                </w:rPr>
                <w:t xml:space="preserve">[26]</w:t>
              </w:r>
              <w:r>
                <w:t xml:space="preserve">   </w:t>
              </w:r>
              <w:r>
                <w:t xml:space="preserve">Section 8 of the Regulation of the President of the Supreme Court on the Proceeding of Welfare Protection Cases.</w:t>
              </w:r>
            </w:p>
            <w:p>
              <w:pPr>
                <w:pStyle w:val="BodyText"/>
              </w:pPr>
              <w:r>
                <w:rPr>
                  <w:color w:val="000000"/>
                  <w:vertAlign w:val="superscript"/>
                </w:rPr>
                <w:t xml:space="preserve">[27]</w:t>
              </w:r>
              <w:r>
                <w:rPr>
                  <w:vertAlign w:val="superscript"/>
                </w:rPr>
                <w:t xml:space="preserve"> </w:t>
              </w:r>
              <w:r>
                <w:t xml:space="preserve">  </w:t>
              </w:r>
              <w:r>
                <w:t xml:space="preserve">Sections 10 and 12 of the Regulation of the President of the Supreme Court on the Proceeding of Welfare Protection Cases.</w:t>
              </w:r>
            </w:p>
            <w:p>
              <w:pPr>
                <w:pStyle w:val="BodyText"/>
              </w:pPr>
              <w:r>
                <w:rPr>
                  <w:color w:val="000000"/>
                  <w:vertAlign w:val="superscript"/>
                </w:rPr>
                <w:t xml:space="preserve">[28]</w:t>
              </w:r>
              <w:r>
                <w:rPr>
                  <w:vertAlign w:val="superscript"/>
                </w:rPr>
                <w:t xml:space="preserve"> </w:t>
              </w:r>
              <w:r>
                <w:t xml:space="preserve">  </w:t>
              </w:r>
              <w:r>
                <w:t xml:space="preserve">Section 7 of the DVA. </w:t>
              </w:r>
            </w:p>
            <w:p>
              <w:pPr>
                <w:pStyle w:val="BodyText"/>
              </w:pPr>
              <w:r>
                <w:rPr>
                  <w:color w:val="000000"/>
                  <w:vertAlign w:val="superscript"/>
                </w:rPr>
                <w:t xml:space="preserve">[29]</w:t>
              </w:r>
              <w:r>
                <w:t xml:space="preserve">   </w:t>
              </w:r>
              <w:r>
                <w:t xml:space="preserve">Section 11 of the DVA. </w:t>
              </w:r>
            </w:p>
            <w:p>
              <w:pPr>
                <w:pStyle w:val="BodyText"/>
              </w:pPr>
              <w:r>
                <w:rPr>
                  <w:color w:val="000000"/>
                  <w:vertAlign w:val="superscript"/>
                </w:rPr>
                <w:t xml:space="preserve">[30]</w:t>
              </w:r>
              <w:r>
                <w:rPr>
                  <w:vertAlign w:val="superscript"/>
                </w:rPr>
                <w:t xml:space="preserve"> </w:t>
              </w:r>
              <w:r>
                <w:t xml:space="preserve">  </w:t>
              </w:r>
              <w:r>
                <w:t xml:space="preserve">Section 10, paragraph 2 of the DVA. </w:t>
              </w:r>
            </w:p>
            <w:p>
              <w:pPr>
                <w:pStyle w:val="BodyText"/>
              </w:pPr>
              <w:r>
                <w:rPr>
                  <w:color w:val="000000"/>
                  <w:vertAlign w:val="superscript"/>
                </w:rPr>
                <w:t xml:space="preserve">[31]</w:t>
              </w:r>
              <w:r>
                <w:t xml:space="preserve">   </w:t>
              </w:r>
              <w:r>
                <w:t xml:space="preserve">Section 28 of the FIA. </w:t>
              </w:r>
            </w:p>
            <w:p>
              <w:pPr>
                <w:pStyle w:val="BodyText"/>
              </w:pPr>
              <w:r>
                <w:rPr>
                  <w:color w:val="000000"/>
                  <w:vertAlign w:val="superscript"/>
                </w:rPr>
                <w:t xml:space="preserve">[32]</w:t>
              </w:r>
              <w:r>
                <w:t xml:space="preserve">   </w:t>
              </w:r>
              <w:r>
                <w:t xml:space="preserve">Section 8 of the DVA.</w:t>
              </w:r>
            </w:p>
            <w:p>
              <w:pPr>
                <w:pStyle w:val="BodyText"/>
              </w:pPr>
              <w:r>
                <w:rPr>
                  <w:color w:val="000000"/>
                  <w:vertAlign w:val="superscript"/>
                </w:rPr>
                <w:t xml:space="preserve">[33]</w:t>
              </w:r>
              <w:r>
                <w:t xml:space="preserve">   </w:t>
              </w:r>
              <w:r>
                <w:t xml:space="preserve">Section 67 of the Criminal Code.</w:t>
              </w:r>
            </w:p>
            <w:p>
              <w:pPr>
                <w:pStyle w:val="BodyText"/>
              </w:pPr>
              <w:r>
                <w:rPr>
                  <w:color w:val="000000"/>
                  <w:vertAlign w:val="superscript"/>
                </w:rPr>
                <w:t xml:space="preserve">[34]</w:t>
              </w:r>
              <w:r>
                <w:t xml:space="preserve">   </w:t>
              </w:r>
              <w:r>
                <w:t xml:space="preserve">Section 5, paragraph 2 of the DVA; Section 23, paragraph 2 of the FIA. </w:t>
              </w:r>
            </w:p>
            <w:p>
              <w:pPr>
                <w:pStyle w:val="BodyText"/>
              </w:pPr>
              <w:r>
                <w:rPr>
                  <w:color w:val="000000"/>
                  <w:vertAlign w:val="superscript"/>
                </w:rPr>
                <w:t xml:space="preserve">[35]</w:t>
              </w:r>
              <w:r>
                <w:t xml:space="preserve">   </w:t>
              </w:r>
              <w:r>
                <w:t xml:space="preserve">Sections 65 and 67 of the Criminal Code.</w:t>
              </w:r>
            </w:p>
            <w:p>
              <w:pPr>
                <w:pStyle w:val="BodyText"/>
              </w:pPr>
              <w:r>
                <w:rPr>
                  <w:color w:val="000000"/>
                  <w:vertAlign w:val="superscript"/>
                </w:rPr>
                <w:t xml:space="preserve">[36]</w:t>
              </w:r>
              <w:r>
                <w:t xml:space="preserve">   </w:t>
              </w:r>
              <w:r>
                <w:t xml:space="preserve">Section 15 of the Criminal Procedure Code; Section 112 of the Civil and Commercial Procedural Code.</w:t>
              </w:r>
            </w:p>
            <w:p>
              <w:pPr>
                <w:pStyle w:val="BodyText"/>
              </w:pPr>
              <w:r>
                <w:rPr>
                  <w:color w:val="000000"/>
                  <w:vertAlign w:val="superscript"/>
                </w:rPr>
                <w:t xml:space="preserve">[37]</w:t>
              </w:r>
              <w:r>
                <w:rPr>
                  <w:vertAlign w:val="superscript"/>
                </w:rPr>
                <w:t xml:space="preserve"> </w:t>
              </w:r>
              <w:r>
                <w:t xml:space="preserve">  </w:t>
              </w:r>
              <w:r>
                <w:t xml:space="preserve">Section 108 of the Civil and Commercial Procedural Code.</w:t>
              </w:r>
            </w:p>
            <w:p>
              <w:pPr>
                <w:pStyle w:val="BodyText"/>
              </w:pPr>
              <w:r>
                <w:rPr>
                  <w:color w:val="000000"/>
                  <w:vertAlign w:val="superscript"/>
                </w:rPr>
                <w:t xml:space="preserve">[38]</w:t>
              </w:r>
              <w:r>
                <w:t xml:space="preserve">   </w:t>
              </w:r>
              <w:r>
                <w:t xml:space="preserve">Section 133-</w:t>
              </w:r>
              <w:r>
                <w:rPr>
                  <w:i/>
                </w:rPr>
                <w:t xml:space="preserve">bis</w:t>
              </w:r>
              <w:r>
                <w:t xml:space="preserve"> of the Criminal Procedure Code.</w:t>
              </w:r>
            </w:p>
            <w:p>
              <w:pPr>
                <w:pStyle w:val="BodyText"/>
              </w:pPr>
              <w:r>
                <w:rPr>
                  <w:color w:val="000000"/>
                  <w:vertAlign w:val="superscript"/>
                </w:rPr>
                <w:t xml:space="preserve">[39]</w:t>
              </w:r>
              <w:r>
                <w:t xml:space="preserve">   </w:t>
              </w:r>
              <w:r>
                <w:t xml:space="preserve">Section 4 of the DVA.</w:t>
              </w:r>
            </w:p>
            <w:p>
              <w:pPr>
                <w:pStyle w:val="BodyText"/>
              </w:pPr>
              <w:r>
                <w:rPr>
                  <w:color w:val="000000"/>
                  <w:vertAlign w:val="superscript"/>
                </w:rPr>
                <w:t xml:space="preserve">[40]</w:t>
              </w:r>
              <w:r>
                <w:t xml:space="preserve">   </w:t>
              </w:r>
              <w:r>
                <w:t xml:space="preserve">Section 10, paragraph 5 of the DVA. </w:t>
              </w:r>
            </w:p>
            <w:p>
              <w:pPr>
                <w:pStyle w:val="BodyText"/>
              </w:pPr>
              <w:r>
                <w:rPr>
                  <w:color w:val="000000"/>
                  <w:vertAlign w:val="superscript"/>
                </w:rPr>
                <w:t xml:space="preserve">[41]</w:t>
              </w:r>
              <w:r>
                <w:t xml:space="preserve">   </w:t>
              </w:r>
              <w:r>
                <w:t xml:space="preserve">Section 11, paragraph 3 of the DVA. </w:t>
              </w:r>
            </w:p>
            <w:p>
              <w:pPr>
                <w:pStyle w:val="BodyText"/>
              </w:pPr>
              <w:r>
                <w:rPr>
                  <w:color w:val="000000"/>
                  <w:vertAlign w:val="superscript"/>
                </w:rPr>
                <w:t xml:space="preserve">[42]</w:t>
              </w:r>
              <w:r>
                <w:t xml:space="preserve">   </w:t>
              </w:r>
              <w:r>
                <w:t xml:space="preserve">Section 34 of the FIA. </w:t>
              </w:r>
            </w:p>
            <w:p>
              <w:pPr>
                <w:pStyle w:val="BodyText"/>
              </w:pPr>
              <w:r>
                <w:rPr>
                  <w:color w:val="000000"/>
                  <w:vertAlign w:val="superscript"/>
                </w:rPr>
                <w:t xml:space="preserve">[43]</w:t>
              </w:r>
              <w:r>
                <w:t xml:space="preserve">   </w:t>
              </w:r>
              <w:r>
                <w:t xml:space="preserve">Section 12 of the DVA. </w:t>
              </w:r>
            </w:p>
            <w:p>
              <w:pPr>
                <w:pStyle w:val="BodyText"/>
              </w:pPr>
              <w:r>
                <w:rPr>
                  <w:color w:val="000000"/>
                  <w:vertAlign w:val="superscript"/>
                </w:rPr>
                <w:t xml:space="preserve">[44]</w:t>
              </w:r>
              <w:r>
                <w:t xml:space="preserve">   </w:t>
              </w:r>
              <w:r>
                <w:t xml:space="preserve">Section 36(3) of the FIA.</w:t>
              </w:r>
            </w:p>
            <w:p>
              <w:pPr>
                <w:pStyle w:val="BodyText"/>
              </w:pPr>
              <w:r>
                <w:rPr>
                  <w:color w:val="000000"/>
                  <w:vertAlign w:val="superscript"/>
                </w:rPr>
                <w:t xml:space="preserve">[45]</w:t>
              </w:r>
              <w:r>
                <w:t xml:space="preserve">   </w:t>
              </w:r>
              <w:r>
                <w:t xml:space="preserve">Section 1</w:t>
              </w:r>
              <w:r>
                <w:t xml:space="preserve">5 of the </w:t>
              </w:r>
              <w:r>
                <w:t xml:space="preserve">DVA. </w:t>
              </w:r>
            </w:p>
            <w:p>
              <w:pPr>
                <w:pStyle w:val="BodyText"/>
              </w:pPr>
              <w:r>
                <w:rPr>
                  <w:color w:val="000000"/>
                  <w:vertAlign w:val="superscript"/>
                </w:rPr>
                <w:t xml:space="preserve">[46]</w:t>
              </w:r>
              <w:r>
                <w:rPr>
                  <w:vertAlign w:val="superscript"/>
                </w:rPr>
                <w:t xml:space="preserve"> </w:t>
              </w:r>
              <w:r>
                <w:t xml:space="preserve">  </w:t>
              </w:r>
              <w:r>
                <w:t xml:space="preserve">Section 10 of the DVA. </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www.violence.in.th/publicweb/pdf/mou/saraprb62.pdf" TargetMode="External" Id="Rd4e96b00d1594df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