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Vietnam</w:t>
      </w:r>
      <w:r w:rsidR="00480329"/>
    </w:p>
    <w:p w:rsidRPr="00BC7873" w:rsidR="00BC7873" w:rsidP="00D354EF" w:rsidRDefault="00051AB4" w14:paraId="2476CC56" w14:textId="2FB25FA9">
      <w:pPr>
        <w:pStyle w:val="Title"/>
      </w:pPr>
      <w:r w:rsidRPr="00BC7873">
        <w:t>Agreeing to the acquisition agreement → Set-offs against claims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set-off against claims for tax benefits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set-off against claims for insurance proceeds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set-off against claims for third-party recoveries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