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Germany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Brussels Regulations: </w:t>
                  </w:r>
                </w:p>
                <w:p>
                  <w:pPr>
                    <w:pStyle w:val="BodyText"/>
                  </w:pPr>
                  <w:r>
                    <w:t xml:space="preserve">Austria, Belgium, Bulgaria, Croatia, Cyprus, Czech Republic, Denmark, Estonia, Finland, France, Greece, Hungary, Ireland, Italy, Latvia, Lithuania, Luxembourg, Malta, Netherlands, Portugal, Poland, Romania, Slovakia, Slovenia, Spain, Sweden, United Kingdom </w:t>
                  </w:r>
                </w:p>
                <w:p>
                  <w:pPr>
                    <w:pStyle w:val="BodyText"/>
                  </w:pPr>
                  <w:r>
                    <w:rPr>
                      <w:b/>
                    </w:rPr>
                    <w:t xml:space="preserve">Lugano Convention 2007:</w:t>
                  </w:r>
                </w:p>
                <w:p>
                  <w:pPr>
                    <w:pStyle w:val="BodyText"/>
                  </w:pPr>
                  <w:r>
                    <w:t xml:space="preserve">Denmark, Iceland, Norway, Switzerland</w:t>
                  </w:r>
                </w:p>
                <w:p>
                  <w:pPr>
                    <w:pStyle w:val="BodyText"/>
                  </w:pPr>
                  <w:r>
                    <w:rPr>
                      <w:b/>
                    </w:rPr>
                    <w:t xml:space="preserve">Hague Choice of Court Convention 2005:</w:t>
                  </w:r>
                </w:p>
                <w:p>
                  <w:pPr>
                    <w:pStyle w:val="BodyText"/>
                  </w:pPr>
                  <w:r>
                    <w:t xml:space="preserve">Austria, Belgium, Bulgaria, Croatia, Cyprus, Czech Republic, Denmark, Estonia, Finland, France, Greece, Hungary, Ireland, Italy, Latvia, Lithuania, Luxembourg, Malta, Mexico, Montenegro, Netherlands, Poland, Portugal, Romania, Singapore, Slovakia, Slovenia, Spain, Sweden, United Kingdom</w:t>
                  </w:r>
                </w:p>
                <w:p>
                  <w:pPr>
                    <w:pStyle w:val="BodyText"/>
                  </w:pPr>
                  <w:r>
                    <w:rPr>
                      <w:b/>
                    </w:rPr>
                    <w:t xml:space="preserve">Bilateral:</w:t>
                  </w:r>
                </w:p>
                <w:p>
                  <w:pPr>
                    <w:pStyle w:val="BodyText"/>
                  </w:pPr>
                  <w:r>
                    <w:t xml:space="preserve">Israel, Mexico, Montenegro, Singapore, Tunisia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German judgments are similarly recognized in the jurisdiction of origin (as is the case e.g. for the USA, Australia, and Japan).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Brussels/Lugano regime: 2 - 4 months. No registration is required under the Brussels regime.</w:t>
                  </w:r>
                </w:p>
                <w:p>
                  <w:pPr>
                    <w:pStyle w:val="BodyText"/>
                  </w:pPr>
                  <w:r>
                    <w:t xml:space="preserve">Other jurisdictions: 4 - 8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Brussels/Lugano regime: 6 - 12 months. No registration is required under the Brussels regime.</w:t>
                  </w:r>
                </w:p>
                <w:p>
                  <w:pPr>
                    <w:pStyle w:val="BodyText"/>
                  </w:pPr>
                  <w:r>
                    <w:t xml:space="preserve">Other jurisdictions: 8 - 18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EUR 240 (approximately USD 280) court fees for recognition, independent of the amount at issue. Attorneys usually charge by the hour.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EUR 240 (approximately USD 280) court fees for recognition, independent of the amount at issue, plus moderate court fees for enforcement. Attorneys usually charge by the hour.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hardly any unusual difficulties. However, note that the German Federal Supreme Court of Justice has held that judgments for punitive or treble damages violate German public policy.  Due to the limited reasons which render a foreign judgment unenforceable, defendants opposing the recognition and enforcement of a foreign judgment frequently argue that the foreign court was misled by the plaintiff and that recognition and enforcement of the foreign judgment would thus violate the German public policy.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4 to 8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8 to 18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12,000 in court fees, assuming an amount at issue of USD 1 million. Attorneys usually charge by the hour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12,000 in court fees, assuming an amount at issue of USD 1 million. Attorneys usually charge by the hour.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limitation period for such registration, as statutory limitation is a matter of substantive law in Germany. The substantive law governing the limitation period for the claim(s) (that are the subject matter of the judgment or award) is determined through ordinary conflicts of laws principles.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limitation period for such registration. The limitation period for claims confirmed by judgment or arbitral award is 30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limitation period for such registration. The limitation period for claims confirmed by judgment or arbitral award is 30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enforcement may trigger the debtor's insolvency. The creditor must then cease individual enforcement and file the claim in the insolvency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Dr. Günter Pickrahn; Dr. Heiko Alexander Haller.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judgment/arbitral award, contractual documents in the case (in particular to review the jurisdiction of the foreign court).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Easy to moderate, depending on the facts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Easy to moderate, depending on the facts of the case.</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4B82DC"/>
                      <w:sz w:val="24"/>
                    </w:rPr>
                    <w:t xml:space="preserve">EMEA</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Germany.</w:t>
                  </w:r>
                </w:p>
                <w:p>
                  <w:pPr>
                    <w:pStyle w:val="BodyText"/>
                  </w:pPr>
                  <w:hyperlink w:history="true" r:id="R2bd61fc4fcfa4a9d">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emea/germany.pdf?sc_lang=en" TargetMode="External" Id="R2bd61fc4fcfa4a9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