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Enforcement Center - Hong Kong</w:t>
      </w:r>
      <w:r w:rsidR="00480329"/>
    </w:p>
    <w:p w:rsidRPr="00BC7873" w:rsidR="00BC7873" w:rsidP="00D354EF" w:rsidRDefault="00051AB4" w14:paraId="2476CC56" w14:textId="2FB25FA9">
      <w:pPr>
        <w:pStyle w:val="Title"/>
      </w:pPr>
      <w:r w:rsidRPr="00BC7873">
        <w:t>Judgments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With which jurisdictions does this country have reciprocal arrangements for enforcement of judgments?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Bilateral: Australia (part only), Belgium, Brunei, China, France, Germany, India, Israel, Italy, Malaysia, the Netherlands, New Zealand, Singapore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If there is no reciprocal arrangement, is it still possible to enforce a foreign judgment by means of a writ on the judgment, declaration of enforceability or similar mechanism?</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the approximate time required to register and enforce a foreign judgment if unopposed?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Registration under the Foreign Judgments (Reciprocal Enforcement) Ordinance is about 2 weeks. The time required to enforce will depend on the method of enforcement used and will take between 1 to 2 months.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the approximate time required to register and enforce a foreign judgment if opposed?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Usually around 6 to 9 months, depending on the court diary. However, depending on the complexity, this can take up to years.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the approximate cost of registering and enforcing a foreign judgment (including court fees and other disbursements) if unopposed?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USD 10,000 - 50,000.</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the approximate cost of registering and enforcing a foreign judgment (including court fees and other disbursements) if opposed?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USD 50,000 - 150,000.</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unusual difficulties in enforcing a foreign judgment?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Generally no.</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https://resourcehub.bakermckenzie.com/en/resources/cross-border-enforcement-center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