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Sri Lanka</w:t>
      </w:r>
      <w:r w:rsidR="00480329"/>
    </w:p>
    <w:p w:rsidRPr="00BC7873" w:rsidR="00BC7873" w:rsidP="00D354EF" w:rsidRDefault="00051AB4" w14:paraId="2476CC56" w14:textId="2FB25FA9">
      <w:pPr>
        <w:pStyle w:val="Title"/>
      </w:pPr>
      <w:r w:rsidRPr="00BC7873">
        <w:t>2.	Introduction: framework guiding domestic violence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2.1	Are there civil and criminal legal remedies for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PDVA mainly governs domestic violence in Sri Lanka.</w:t>
              </w:r>
            </w:p>
            <w:p>
              <w:pPr>
                <w:pStyle w:val="BodyText"/>
              </w:pPr>
              <w:r>
                <w:t xml:space="preserve">In Section 23 of the PDVA, domestic violence includes "physical or emotional harm done by the spouse, ex-spouse or cohabiting partner to the other."</w:t>
              </w:r>
            </w:p>
            <w:p>
              <w:pPr>
                <w:pStyle w:val="BodyText"/>
              </w:pPr>
              <w:r>
                <w:t xml:space="preserve">Section 2 of the PDVA states that the aggrieved party can file for a protection order from a magistrate's court upon ill-treatment. However, a retrospective view in 2020 showed that it has been nearly impossible for women to report violence due to being confined to their homes during the COVID-19 pandemic and lockdown.</w:t>
              </w:r>
              <w:r>
                <w:rPr>
                  <w:color w:val="8DB3E2"/>
                  <w:vertAlign w:val="superscript"/>
                </w:rPr>
                <w:t xml:space="preserve">[1]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2.2	Is domestic violence identified in national law as a human right (noting that at a European level protection from domestic violence has not been explicitly identified as a human right but is indirectly captured by the other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Constitution of Sri Lanka provides a series of fundamental rights, which are akin to human rights. Regarding domestic violence, there is no express provision; however, the following could arguably cover domestic violence:</w:t>
              </w:r>
            </w:p>
            <w:p>
              <w:pPr>
                <w:pStyle w:val="BodyText"/>
              </w:pPr>
              <w:pPr>
                <w:ind w:left="705"/>
              </w:pPr>
              <w:r>
                <w:t xml:space="preserve">11. No person shall be subjected to torture or to cruel, inhuman or degrading treatment or punishment.</w:t>
              </w:r>
              <w:r>
                <w:rPr>
                  <w:color w:val="8DB3E2"/>
                  <w:vertAlign w:val="superscript"/>
                </w:rPr>
                <w:t xml:space="preserve">[2]</w:t>
              </w:r>
            </w:p>
            <w:p>
              <w:pPr>
                <w:pStyle w:val="BodyText"/>
              </w:pPr>
              <w:r>
                <w:t xml:space="preserve">Nevertheless, the following allows a waiver in terms of conflict with any existing laws: </w:t>
              </w:r>
            </w:p>
            <w:p>
              <w:pPr>
                <w:pStyle w:val="BodyText"/>
              </w:pPr>
              <w:pPr>
                <w:ind w:left="705"/>
              </w:pPr>
              <w:r>
                <w:t xml:space="preserve">16. (1) All existing written law and unwritten law shall be valid and operative notwithstanding any inconsistency with the preceding provisions of this Chapter.</w:t>
              </w:r>
              <w:r>
                <w:rPr>
                  <w:color w:val="8DB3E2"/>
                  <w:vertAlign w:val="superscript"/>
                </w:rPr>
                <w:t xml:space="preserve">[3]</w:t>
              </w:r>
            </w:p>
            <w:p>
              <w:pPr>
                <w:pStyle w:val="BodyText"/>
              </w:pPr>
              <w:r>
                <w:t xml:space="preserve">Amnesty International notes the following in its 2020 human rights review for Sri Lanka:</w:t>
              </w:r>
            </w:p>
            <w:p>
              <w:pPr>
                <w:pStyle w:val="BodyText"/>
              </w:pPr>
              <w:pPr>
                <w:ind w:left="600"/>
              </w:pPr>
              <w:r>
                <w:t xml:space="preserve">There was continued impunity for sexual and gender-based violence, despite repeated assurances by consecutive governments to tackle the issue. A total of 142 rapes and 42 cases of "serious sexual abuse" against children were reported to the police in just the first 15 days of the year.</w:t>
              </w:r>
              <w:r>
                <w:rPr>
                  <w:color w:val="8DB3E2"/>
                  <w:vertAlign w:val="superscript"/>
                </w:rPr>
                <w:t xml:space="preserve">[4]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2.3 Has your country signed and ratified the Council of Europe's Istanbul Convention (2011) preventing and combating violence against women and domestic violence (CETS No. 210)?</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Sri Lanka has not signed or ratified the Istanbul Convention.</w:t>
              </w:r>
              <w:r>
                <w:rPr>
                  <w:color w:val="8DB3E2"/>
                  <w:vertAlign w:val="superscript"/>
                </w:rPr>
                <w:t xml:space="preserve">[5]</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2.4	If it has ratified the Istanbul Convention, how has this convention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Istanbul Convention is not applicable to Sri Lanka.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2.5	If it has not ratified or signed the Istanbul Convention,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2.6	If it has ratified the 1979 Convention, how has the recommendations part of General Comment No. 35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Sri Lanka signed (1980) and ratified (5 October 1981) the 1979 Convention on the Elimination of All Forms of Discrimination Against Women (CEDAW).</w:t>
              </w:r>
              <w:r>
                <w:rPr>
                  <w:color w:val="8DB3E2"/>
                  <w:vertAlign w:val="superscript"/>
                </w:rPr>
                <w:t xml:space="preserve">[6]</w:t>
              </w:r>
            </w:p>
            <w:p>
              <w:pPr>
                <w:pStyle w:val="BodyText"/>
              </w:pPr>
              <w:r>
                <w:t xml:space="preserve">The CEDAW General Comment No. 35 adopts the term "gender-based violence against women" to make explicit the gendered causes and effects of violence. Paragraph 26 of General Comment No. 35 requires state parties to: (i) adopt legislation prohibiting all forms of gender-based violence against women and girls, harmonizing national law with the CEDAW; and (ii) repeal any laws that constitute discrimination against women.</w:t>
              </w:r>
              <w:r>
                <w:rPr>
                  <w:color w:val="8DB3E2"/>
                  <w:vertAlign w:val="superscript"/>
                </w:rPr>
                <w:t xml:space="preserve">[7]</w:t>
              </w:r>
            </w:p>
            <w:p>
              <w:pPr>
                <w:pStyle w:val="BodyText"/>
              </w:pPr>
              <w:r>
                <w:t xml:space="preserve">In 2016, Sri Lanka launched the National Action Plan to address sexual-based and gender-based violence with of the aim of creating a violence-free life for women and children with zero tolerance for sexual-based and gender-based violence in Sri Lanka, formulated using a multi-sectoral approach with engagement from key ministries representing nine sectors.</w:t>
              </w:r>
            </w:p>
            <w:p>
              <w:pPr>
                <w:pStyle w:val="BodyText"/>
              </w:pPr>
              <w:r>
                <w:t xml:space="preserve">However, Amnesty International noted in its 2020 human rights review for Sri Lanka that there was continued impunity for sexual-based and gender-based violence, despite repeated assurances by consecutive governments to tackle the issue.</w:t>
              </w:r>
              <w:r>
                <w:rPr>
                  <w:color w:val="8DB3E2"/>
                  <w:vertAlign w:val="superscript"/>
                </w:rPr>
                <w:t xml:space="preserve">[8]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2.7 If the 1979 Convention has not been ratified or signed,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