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Information Requirements, Data Subject Rights, Accountability and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information needs to be included in a privacy notice to data subjects?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   the identity and the contact details of the controller and, where applicable, of the controller's representative</w:t>
              </w:r>
              <w:r>
                <w:br/>
              </w:r>
              <w:r>
                <w:t xml:space="preserve">☒   the contact details of the data protection officer, where applicable</w:t>
              </w:r>
              <w:r>
                <w:br/>
              </w:r>
              <w:r>
                <w:t xml:space="preserve">☒   the purposes of the processing for which the personal data is intended</w:t>
              </w:r>
              <w:r>
                <w:br/>
              </w:r>
              <w:r>
                <w:t xml:space="preserve">☒   the legal basis for the processing</w:t>
              </w:r>
              <w:r>
                <w:br/>
              </w:r>
              <w:r>
                <w:t xml:space="preserve">☒   the legitimate interests pursued by the controller or by a third party if processing is based on the legitimate interests ground</w:t>
              </w:r>
              <w:r>
                <w:br/>
              </w:r>
              <w:r>
                <w:t xml:space="preserve">☒   the recipients or categories of recipients of the personal data, if any</w:t>
              </w:r>
              <w:r>
                <w:br/>
              </w:r>
              <w:r>
                <w:t xml:space="preserve">☒   information regarding data transfers to third countries, where applicable, and reference to appropriate or suitable safeguards and the means by which to obtain a copy of them or where they have been made available</w:t>
              </w:r>
              <w:r>
                <w:br/>
              </w:r>
              <w:r>
                <w:t xml:space="preserve">☒   the period for which the personal data will be stored, or if that is not possible, the criteria used to determine that period</w:t>
              </w:r>
              <w:r>
                <w:br/>
              </w:r>
              <w:r>
                <w:t xml:space="preserve">☒   the existence of data subjects' rights, such as the right to access, rectification, erasure, data portability, etc.</w:t>
              </w:r>
              <w:r>
                <w:br/>
              </w:r>
              <w:r>
                <w:t xml:space="preserve">☒   the existence of the right to withdraw consent if processing is based on consent</w:t>
              </w:r>
              <w:r>
                <w:br/>
              </w:r>
              <w:r>
                <w:t xml:space="preserve">☒   the right to lodge a complaint with a supervisory authority</w:t>
              </w:r>
              <w:r>
                <w:br/>
              </w: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r>
                <w:br/>
              </w:r>
              <w:r>
                <w:t xml:space="preserve">☒   if applicable, information regarding automated decision making, including profiling</w:t>
              </w:r>
              <w:r>
                <w:br/>
              </w:r>
              <w:r>
                <w:t xml:space="preserve">☒   other</w:t>
              </w:r>
            </w:p>
            <w:p>
              <w:pPr>
                <w:pStyle w:val="BodyText"/>
              </w:pPr>
              <w:r>
                <w:t xml:space="preserve">The requirement to include information in the privacy notice on the categories of personal data concerned and the source from which the personal data originates only apply if the data is collected indirectly.</w:t>
              </w:r>
            </w:p>
            <w:p>
              <w:pPr>
                <w:pStyle w:val="BodyText"/>
              </w:pPr>
              <w:r>
                <w:t xml:space="preserve">The obligation to provide information on the existence of data subjects’ rights requires the provision of information on the existence of </w:t>
              </w:r>
              <w:r>
                <w:rPr>
                  <w:u w:val="single"/>
                </w:rPr>
                <w:t xml:space="preserve">all</w:t>
              </w:r>
              <w:r>
                <w:t xml:space="preserve"> data subjects’ rights, (i.e., the right to access, rectification, erasure, data portability, restriction on processing, objection to processing) with a summary of what the right involves and how the data subject can take steps to exercise it and any limitations on the right.</w:t>
              </w:r>
            </w:p>
            <w:p>
              <w:pPr>
                <w:pStyle w:val="BodyText"/>
              </w:pPr>
              <w:r>
                <w:t xml:space="preserve">The privacy notice must explain that data subjects have the right to withdraw consent at any time if the processing is based on consent.</w:t>
              </w:r>
            </w:p>
            <w:p>
              <w:pPr>
                <w:pStyle w:val="BodyText"/>
              </w:pPr>
              <w:r>
                <w:t xml:space="preserve">Providing information on the security provided to the data is good practice, but not mandatory.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data subjects have specific privacy rights that must be operationalized?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r>
                <w:t xml:space="preserve">☒   right to access the data subject's own personal data</w:t>
              </w:r>
            </w:p>
            <w:p>
              <w:pPr>
                <w:pStyle w:val="BodyText"/>
              </w:pPr>
              <w:r>
                <w:t xml:space="preserve">☒   right to rectify/correct the data subject's own personal data where inaccurate or incomplete</w:t>
              </w:r>
            </w:p>
            <w:p>
              <w:pPr>
                <w:pStyle w:val="BodyText"/>
              </w:pPr>
              <w:r>
                <w:t xml:space="preserve">☒   right to erasure of personal data</w:t>
              </w:r>
            </w:p>
            <w:p>
              <w:pPr>
                <w:pStyle w:val="BodyText"/>
              </w:pPr>
              <w:r>
                <w:t xml:space="preserve">☒   right to restrict data processing</w:t>
              </w:r>
            </w:p>
            <w:p>
              <w:pPr>
                <w:pStyle w:val="BodyText"/>
              </w:pPr>
              <w:r>
                <w:t xml:space="preserve">☒   right to data portability</w:t>
              </w:r>
            </w:p>
            <w:p>
              <w:pPr>
                <w:pStyle w:val="BodyText"/>
              </w:pPr>
              <w:r>
                <w:t xml:space="preserve">☒   right to object to the processing of personal data</w:t>
              </w:r>
            </w:p>
            <w:p>
              <w:pPr>
                <w:pStyle w:val="BodyText"/>
              </w:pPr>
              <w:r>
                <w:t xml:space="preserve">☒   right to withdraw consent</w:t>
              </w:r>
            </w:p>
            <w:p>
              <w:pPr>
                <w:pStyle w:val="BodyText"/>
              </w:pPr>
              <w:r>
                <w:t xml:space="preserve">☒   other</w:t>
              </w:r>
            </w:p>
            <w:p>
              <w:pPr>
                <w:pStyle w:val="BodyText"/>
              </w:pPr>
              <w:r>
                <w:t xml:space="preserve">The right not to be subject to a decision based solely on automated processing, including profiling, which produces legal effects concerning the data subject or similarly significantly affects the data subject;  right to transparent information (which, in practice, is an obligation of the data controller to provide such transparent information about its data processing activities).</w:t>
              </w:r>
            </w:p>
            <w:p>
              <w:pPr>
                <w:pStyle w:val="BodyText"/>
              </w:pPr>
              <w:r>
                <w:t xml:space="preserve">We also note, pursuant to recital (27) of Regulation (EU) 2016/679 (GDPR), that although the GDPR does not apply to deceased persons, Member States of the European Union may establish local rules regarding the processing of personal data of deceased persons (e.g., specific rights that close relatives may exercise relative to such deceased persons’ personal data). Furthermore, the data subject also has the right to lodge a complaint with the competent data protection supervisory authority and make civil claims against the data controller and/or the data processor regarding alleged breaches of the GDPR; however, such rights cannot be operationalized, because the data subject does not exercise them by way of contacting the data controller or the data processor.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accountability and governance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Yes</w:t>
              </w:r>
            </w:p>
            <w:p>
              <w:pPr>
                <w:pStyle w:val="BodyText"/>
              </w:pPr>
              <w:r>
                <w:t xml:space="preserve">There are accountability and governance requirements to:</w:t>
              </w:r>
            </w:p>
            <w:p>
              <w:pPr>
                <w:pStyle w:val="BodyText"/>
              </w:pPr>
              <w:r>
                <w:t xml:space="preserve">☒   take privacy by default and design measures for all processing of personal data</w:t>
              </w:r>
            </w:p>
            <w:p>
              <w:pPr>
                <w:pStyle w:val="BodyText"/>
              </w:pPr>
              <w:r>
                <w:t xml:space="preserve">☒   perform and document data protection impact assessments (DPIAs) for high-risk processing:</w:t>
              </w:r>
            </w:p>
            <w:p>
              <w:pPr>
                <w:pStyle w:val="BodyText"/>
              </w:pPr>
              <w:r>
                <w:t xml:space="preserve">☒   maintain a record of processing activities</w:t>
              </w:r>
            </w:p>
            <w:p>
              <w:pPr>
                <w:pStyle w:val="BodyText"/>
              </w:pPr>
              <w:r>
                <w:t xml:space="preserve">☒   implement appropriate measures to comply with data privacy and cybersecurity</w:t>
              </w:r>
            </w:p>
            <w:p>
              <w:pPr>
                <w:pStyle w:val="BodyText"/>
              </w:pPr>
              <w:r>
                <w:t xml:space="preserve">☒   demonstrate compliance with data privacy and cybersecurity</w:t>
              </w:r>
            </w:p>
            <w:p>
              <w:pPr>
                <w:pStyle w:val="BodyText"/>
              </w:pPr>
              <w:r>
                <w:t xml:space="preserve">☒   identify a specific individual as the data privacy contact for data subject or data protection authority inquiries</w:t>
              </w:r>
            </w:p>
            <w:p>
              <w:pPr>
                <w:pStyle w:val="BodyText"/>
              </w:pPr>
              <w:r>
                <w:t xml:space="preserve">☒   provide training to employees</w:t>
              </w:r>
            </w:p>
            <w:p>
              <w:pPr>
                <w:pStyle w:val="BodyText"/>
              </w:pPr>
              <w:r>
                <w:t xml:space="preserve">☒   audit or supervise data processors</w:t>
              </w:r>
            </w:p>
            <w:p>
              <w:pPr>
                <w:pStyle w:val="BodyText"/>
              </w:pPr>
              <w:r>
                <w:t xml:space="preserve">☒   appoint a local representative in the jurisdiction (if the controller or processor is not located in the jurisdiction)</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