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If yes, under what circumstances?</w:t>
              </w:r>
            </w:p>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 DPO must have appropriate professional qualities and, in particular, expert knowledge of data protection law and practices and the ability to fulfil their tasks pursuant to applicable data protection laws.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No</w:t>
              </w:r>
            </w:p>
            <w:p>
              <w:pPr>
                <w:pStyle w:val="BodyText"/>
              </w:pPr>
              <w:r>
                <w:t xml:space="preserve">We note though that the following scenarios may trigger similar requirements:</w:t>
              </w:r>
            </w:p>
            <w:p>
              <w:pPr>
                <w:pStyle w:val="BodyText"/>
              </w:pPr>
              <w:pPr>
                <w:pStyle w:val="ListParagraph"/>
                <w:numPr>
                  <w:ilvl w:val="0"/>
                  <w:numId w:val="9"/>
                </w:numPr>
              </w:pPr>
              <w:r>
                <w:t xml:space="preserve">When transferring personal data to a third country or an international organization, the following may be used as safeguards for such data transfers only if they are approved by a data protection supervisory authority in the EU:</w:t>
              </w:r>
            </w:p>
            <w:p>
              <w:pPr>
                <w:pStyle w:val="BodyText"/>
              </w:pPr>
              <w:pPr>
                <w:pStyle w:val="ListParagraph"/>
                <w:numPr>
                  <w:ilvl w:val="1"/>
                  <w:numId w:val="10"/>
                </w:numPr>
                <w:ind w:left="1560"/>
              </w:pPr>
              <w:r>
                <w:t xml:space="preserve">binding corporate rules (Article 47 of the GDPR);</w:t>
              </w:r>
            </w:p>
            <w:p>
              <w:pPr>
                <w:pStyle w:val="BodyText"/>
              </w:pPr>
              <w:pPr>
                <w:pStyle w:val="ListParagraph"/>
                <w:numPr>
                  <w:ilvl w:val="1"/>
                  <w:numId w:val="10"/>
                </w:numPr>
                <w:ind w:left="1560"/>
              </w:pPr>
              <w:r>
                <w:t xml:space="preserve">codes of conduct (Article 40 of the GDPR); and</w:t>
              </w:r>
            </w:p>
            <w:p>
              <w:pPr>
                <w:pStyle w:val="BodyText"/>
              </w:pPr>
              <w:pPr>
                <w:pStyle w:val="ListParagraph"/>
                <w:numPr>
                  <w:ilvl w:val="1"/>
                  <w:numId w:val="10"/>
                </w:numPr>
                <w:ind w:left="1560"/>
              </w:pPr>
              <w:r>
                <w:t xml:space="preserve">certification mechanisms, where a data protection supervisory authority acts as the certification body; and (Article 42 of the GDPR).</w:t>
              </w:r>
            </w:p>
            <w:p>
              <w:pPr>
                <w:pStyle w:val="BodyText"/>
              </w:pPr>
              <w:pPr>
                <w:pStyle w:val="ListParagraph"/>
                <w:numPr>
                  <w:ilvl w:val="0"/>
                  <w:numId w:val="11"/>
                </w:numPr>
              </w:pPr>
              <w:r>
                <w:t xml:space="preserve">Where the data controller carries out a data protection impact assessment concerning a proposed data processing activity and as a result, it concludes that in the absence of risk-mitigating measures, the proposed data processing activity would result in a high risk to the data subjects’ rights and freedoms, it must consult the competent data protection supervisory authority before it begins the proposed data processing(Article 36 of the GDPR).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1"/>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