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VAT/GST Rates &amp; Thresholds - Malaysia</w:t>
      </w:r>
      <w:r w:rsidR="00480329"/>
    </w:p>
    <w:p w:rsidRPr="00BC7873" w:rsidR="00BC7873" w:rsidP="00D354EF" w:rsidRDefault="00051AB4" w14:paraId="2476CC56" w14:textId="2FB25FA9">
      <w:pPr>
        <w:pStyle w:val="Title"/>
      </w:pPr>
      <w:r w:rsidRPr="00BC7873">
        <w:t>VAT / GST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Rates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Reduced VAT / GST rate</w:t>
              </w:r>
            </w:p>
            <w:p>
              <w:pPr>
                <w:pStyle w:val="BodyText"/>
              </w:pPr>
              <w:r>
                <w:t xml:space="preserve">0</w:t>
              </w:r>
              <w:hyperlink w:history="true" r:id="R77f22b995d5949c1">
                <w:r>
                  <w:rPr>
                    <w:rStyle w:val="Hyperlink"/>
                    <w:vertAlign w:val="superscript"/>
                  </w:rPr>
                  <w:t xml:space="preserve">[1]</w:t>
                </w:r>
              </w:hyperlink>
              <w:r>
                <w:t xml:space="preserve"> / 5</w:t>
              </w:r>
              <w:hyperlink w:history="true" r:id="Re2dfcc2ee1514f33">
                <w:r>
                  <w:rPr>
                    <w:rStyle w:val="Hyperlink"/>
                    <w:vertAlign w:val="superscript"/>
                  </w:rPr>
                  <w:t xml:space="preserve">[2]</w:t>
                </w:r>
              </w:hyperlink>
            </w:p>
            <w:p>
              <w:pPr>
                <w:pStyle w:val="BodyText"/>
              </w:pPr>
              <w:r>
                <w:rPr>
                  <w:b/>
                </w:rPr>
                <w:t xml:space="preserve">Standard VAT / GST rate</w:t>
              </w:r>
            </w:p>
            <w:p>
              <w:pPr>
                <w:pStyle w:val="BodyText"/>
              </w:pPr>
              <w:r>
                <w:t xml:space="preserve">6</w:t>
              </w:r>
              <w:hyperlink w:history="true" r:id="R16be7cfe525f4969">
                <w:r>
                  <w:rPr>
                    <w:rStyle w:val="Hyperlink"/>
                    <w:vertAlign w:val="superscript"/>
                  </w:rPr>
                  <w:t xml:space="preserve">[3]</w:t>
                </w:r>
              </w:hyperlink>
              <w:r>
                <w:t xml:space="preserve"> / 8</w:t>
              </w:r>
              <w:hyperlink w:history="true" r:id="Rfdd57062f25d4f37">
                <w:r>
                  <w:rPr>
                    <w:rStyle w:val="Hyperlink"/>
                    <w:vertAlign w:val="superscript"/>
                  </w:rPr>
                  <w:t xml:space="preserve">[4]</w:t>
                </w:r>
              </w:hyperlink>
              <w:r>
                <w:t xml:space="preserve"> / 10</w:t>
              </w:r>
              <w:hyperlink w:history="true" r:id="R99ce517a84e24da6">
                <w:r>
                  <w:rPr>
                    <w:rStyle w:val="Hyperlink"/>
                    <w:vertAlign w:val="superscript"/>
                  </w:rPr>
                  <w:t xml:space="preserve">[5]</w:t>
                </w:r>
              </w:hyperlink>
            </w:p>
            <w:p>
              <w:pPr>
                <w:pStyle w:val="BodyText"/>
              </w:pPr>
              <w:r>
                <w:rPr>
                  <w:b/>
                </w:rPr>
                <w:t xml:space="preserve">High VAT / GST rate</w:t>
              </w:r>
            </w:p>
            <w:p>
              <w:pPr>
                <w:pStyle w:val="BodyText"/>
              </w:pPr>
              <w:r>
                <w:t xml:space="preserve">Not applicable </w:t>
              </w:r>
            </w:p>
            <w:p>
              <w:pPr>
                <w:pStyle w:val="BodyText"/>
              </w:pPr>
              <w:r>
                <w:rPr>
                  <w:b/>
                </w:rPr>
                <w:t xml:space="preserve">_____________________</w:t>
              </w:r>
            </w:p>
            <w:p>
              <w:pPr>
                <w:pStyle w:val="BodyText"/>
              </w:pPr>
              <w:hyperlink w:history="true" r:id="R53d429cb8de2437f">
                <w:r>
                  <w:rPr>
                    <w:rStyle w:val="Hyperlink"/>
                  </w:rPr>
                  <w:t xml:space="preserve">[1]</w:t>
                </w:r>
              </w:hyperlink>
              <w:r>
                <w:t xml:space="preserve">  Certain classes of persons and/or goods are exempted from the payment of Sales Tax in Malaysia. On the other hand, Service Tax is not imposed on services that are not specified as taxable service in the First Schedule of Service Tax Regulations 2018.</w:t>
              </w:r>
            </w:p>
            <w:p>
              <w:pPr>
                <w:pStyle w:val="BodyText"/>
              </w:pPr>
              <w:hyperlink w:history="true" r:id="Ra1be45651c7549af">
                <w:r>
                  <w:rPr>
                    <w:rStyle w:val="Hyperlink"/>
                  </w:rPr>
                  <w:t xml:space="preserve">[2]</w:t>
                </w:r>
              </w:hyperlink>
              <w:r>
                <w:t xml:space="preserve"> </w:t>
              </w:r>
              <w:r>
                <w:t xml:space="preserve">In relation to Sales Tax, a reduced rate of 5% is imposed on a list of goods specified in the First Schedule of Sales Tax </w:t>
              </w:r>
              <w:r>
                <w:t xml:space="preserve">(Rates of Tax) Order 2018.</w:t>
              </w:r>
            </w:p>
            <w:p>
              <w:pPr>
                <w:pStyle w:val="BodyText"/>
              </w:pPr>
              <w:hyperlink w:history="true" r:id="R77b7d276cce74e6e">
                <w:r>
                  <w:rPr>
                    <w:rStyle w:val="Hyperlink"/>
                  </w:rPr>
                  <w:t xml:space="preserve">[3]</w:t>
                </w:r>
              </w:hyperlink>
              <w:r>
                <w:t xml:space="preserve"> 6% Service Tax applies to the following taxable services: food &amp; beverage, telecommunications, parking and logistics services.</w:t>
              </w:r>
            </w:p>
            <w:p>
              <w:pPr>
                <w:pStyle w:val="BodyText"/>
              </w:pPr>
              <w:hyperlink w:history="true" r:id="R8f3115a4d2ba4296">
                <w:r>
                  <w:rPr>
                    <w:rStyle w:val="Hyperlink"/>
                  </w:rPr>
                  <w:t xml:space="preserve">[4]</w:t>
                </w:r>
              </w:hyperlink>
              <w:r>
                <w:t xml:space="preserve"> </w:t>
              </w:r>
              <w:r>
                <w:t xml:space="preserve">The standard rate of 8% of Service Tax applies to most of the taxable services, except for taxable service relating to credit </w:t>
              </w:r>
              <w:r>
                <w:t xml:space="preserve">card or charge card services.</w:t>
              </w:r>
            </w:p>
            <w:p>
              <w:pPr>
                <w:pStyle w:val="BodyText"/>
              </w:pPr>
              <w:hyperlink w:history="true" r:id="R99464bc4ad0444e0">
                <w:r>
                  <w:rPr>
                    <w:rStyle w:val="Hyperlink"/>
                  </w:rPr>
                  <w:t xml:space="preserve">[5]</w:t>
                </w:r>
              </w:hyperlink>
              <w:r>
                <w:t xml:space="preserve"> The standard rate of Sales Tax in Malaysia is 10%.</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01" TargetMode="External" Id="R77f22b995d5949c1" /><Relationship Type="http://schemas.openxmlformats.org/officeDocument/2006/relationships/hyperlink" Target="https://resourcehub.bakermckenzie.com/en#ftn02" TargetMode="External" Id="Re2dfcc2ee1514f33" /><Relationship Type="http://schemas.openxmlformats.org/officeDocument/2006/relationships/hyperlink" Target="https://resourcehub.bakermckenzie.com/en#ftn3" TargetMode="External" Id="R16be7cfe525f4969" /><Relationship Type="http://schemas.openxmlformats.org/officeDocument/2006/relationships/hyperlink" Target="https://resourcehub.bakermckenzie.com/enEditorPage.aspx?da=core&amp;amp;id=%7B67CB5465-11B2-42D3-925C-08B6C59127D9%7D&amp;amp;ed=FIELD8512504&amp;amp;vs&amp;amp;la=en&amp;amp;fld=%7B61B355C7-4970-4B78-98CC-936E170256C2%7D&amp;amp;so&amp;amp;di=0&amp;amp;hdl=H8512510&amp;amp;mo&amp;amp;pe=0&amp;amp;fbd=1#ftn04" TargetMode="External" Id="Rfdd57062f25d4f37" /><Relationship Type="http://schemas.openxmlformats.org/officeDocument/2006/relationships/hyperlink" Target="https://resourcehub.bakermckenzie.com/en#ftn04" TargetMode="External" Id="R99ce517a84e24da6" /><Relationship Type="http://schemas.openxmlformats.org/officeDocument/2006/relationships/hyperlink" Target="https://resourcehub.bakermckenzie.com/en#ftnref01" TargetMode="External" Id="R53d429cb8de2437f" /><Relationship Type="http://schemas.openxmlformats.org/officeDocument/2006/relationships/hyperlink" Target="https://resourcehub.bakermckenzie.com/en#ftnref02" TargetMode="External" Id="Ra1be45651c7549af" /><Relationship Type="http://schemas.openxmlformats.org/officeDocument/2006/relationships/hyperlink" Target="https://resourcehub.bakermckenzie.com/en#ftnref03" TargetMode="External" Id="R77b7d276cce74e6e" /><Relationship Type="http://schemas.openxmlformats.org/officeDocument/2006/relationships/hyperlink" Target="https://resourcehub.bakermckenzie.com/en#ftnref04" TargetMode="External" Id="R8f3115a4d2ba4296" /><Relationship Type="http://schemas.openxmlformats.org/officeDocument/2006/relationships/hyperlink" Target="https://resourcehub.bakermckenzie.com/enEditorPage.aspx?da=core&amp;amp;id=%7B67CB5465-11B2-42D3-925C-08B6C59127D9%7D&amp;amp;ed=FIELD8512504&amp;amp;vs&amp;amp;la=en&amp;amp;fld=%7B61B355C7-4970-4B78-98CC-936E170256C2%7D&amp;amp;so&amp;amp;di=0&amp;amp;hdl=H8512510&amp;amp;mo&amp;amp;pe=0&amp;amp;fbd=1#ftnref04" TargetMode="External" Id="R99464bc4ad0444e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