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United States of America</w:t>
      </w:r>
      <w:r w:rsidR="00480329"/>
    </w:p>
    <w:p w:rsidRPr="00BC7873" w:rsidR="00BC7873" w:rsidP="00D354EF" w:rsidRDefault="00051AB4" w14:paraId="2476CC56" w14:textId="2FB25FA9">
      <w:pPr>
        <w:pStyle w:val="Title"/>
      </w:pPr>
      <w:r w:rsidRPr="00BC7873">
        <w:t>Agreeing to the acquisition agreement → Stamp duty and tax</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If stamp duty is payable, is it normally shared?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There is no stamp duty in the US.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 separate tax covenant/indemnity or tax deed common?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Frequency/market practice: It is fairly common to have a specific tax covenant/indemnity included in the purchase agreement.</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