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Spain</w:t>
      </w:r>
      <w:r w:rsidR="00480329"/>
    </w:p>
    <w:p w:rsidRPr="00BC7873" w:rsidR="00BC7873" w:rsidP="00D354EF" w:rsidRDefault="00051AB4" w14:paraId="2476CC56" w14:textId="2FB25FA9">
      <w:pPr>
        <w:pStyle w:val="Title"/>
      </w:pPr>
      <w:r w:rsidRPr="00BC7873">
        <w:t>07 - Artificial intelligence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law of privilege or professional secrecy protect inputs by lawyers into generative AI tools and the resulting outputs?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currently no regulations or case law addressing whether professional secrecy protects lawyers' inputs into generative AI tools and their outputs.</w:t>
              </w:r>
            </w:p>
            <w:p>
              <w:pPr>
                <w:pStyle w:val="BodyText"/>
              </w:pPr>
              <w:r>
                <w:t xml:space="preserve">However, disclosure of information covered by professional secrecy due to the use of nonconfidential AI tools by a lawyer could result in the lawyer's disciplinary liability (see Section 2 in fine).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