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VAT/GST Rates &amp; Thresholds - Canada</w:t>
      </w:r>
      <w:r w:rsidR="00480329"/>
    </w:p>
    <w:p w:rsidRPr="00BC7873" w:rsidR="00BC7873" w:rsidP="00D354EF" w:rsidRDefault="00051AB4" w14:paraId="2476CC56" w14:textId="2FB25FA9">
      <w:pPr>
        <w:pStyle w:val="Title"/>
      </w:pPr>
      <w:r w:rsidRPr="00BC7873">
        <w:t>VAT / GST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Rates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p>
            <w:p>
              <w:pPr>
                <w:pStyle w:val="BodyText"/>
              </w:pPr>
              <w:r>
                <w:rPr>
                  <w:b/>
                </w:rPr>
                <w:t xml:space="preserve">Standard VAT / GST rate</w:t>
              </w:r>
            </w:p>
            <w:p>
              <w:pPr>
                <w:pStyle w:val="BodyText"/>
              </w:pPr>
              <w:r>
                <w:t xml:space="preserve">5 + additional provincial harmonized rate in certain provinces (max. additional 10%) </w:t>
              </w:r>
              <w:hyperlink w:history="true" r:id="R72e576d8d3274b90">
                <w:r>
                  <w:rPr>
                    <w:rStyle w:val="Hyperlink"/>
                    <w:vertAlign w:val="superscript"/>
                  </w:rPr>
                  <w:t xml:space="preserve">[1]</w:t>
                </w:r>
              </w:hyperlink>
            </w:p>
            <w:p>
              <w:pPr>
                <w:pStyle w:val="BodyText"/>
              </w:pPr>
              <w:r>
                <w:rPr>
                  <w:b/>
                </w:rPr>
                <w:t xml:space="preserve">High VAT / GST rate</w:t>
              </w:r>
            </w:p>
            <w:p>
              <w:pPr>
                <w:pStyle w:val="BodyText"/>
              </w:pPr>
              <w:r>
                <w:t xml:space="preserve">Not applicable</w:t>
              </w:r>
            </w:p>
            <w:p>
              <w:pPr>
                <w:pStyle w:val="BodyText"/>
              </w:pPr>
              <w:r>
                <w:t xml:space="preserve"> </w:t>
              </w:r>
            </w:p>
            <w:p>
              <w:pPr>
                <w:pStyle w:val="BodyText"/>
              </w:pPr>
              <w:r>
                <w:t xml:space="preserve">_______________ </w:t>
              </w:r>
            </w:p>
            <w:p>
              <w:pPr>
                <w:pStyle w:val="BodyText"/>
              </w:pPr>
              <w:hyperlink w:history="true" r:id="Rf1e2dd95305c43eb">
                <w:r>
                  <w:rPr>
                    <w:rStyle w:val="Hyperlink"/>
                    <w:u w:val="single"/>
                  </w:rPr>
                  <w:t xml:space="preserve">[1]</w:t>
                </w:r>
              </w:hyperlink>
              <w:r>
                <w:t xml:space="preserve"> Five provinces harmonized their provincial sales taxes with the federal GST such that GST/Harmonized Sales Tax (HST) applies at a combined rate of 15% (New Brunswick, Newfoundland &amp; Labrador, and Prince Edward Island), </w:t>
              </w:r>
              <w:r>
                <w:rPr>
                  <w:b/>
                </w:rPr>
                <w:t xml:space="preserve">14% as of April 1, 2025 (Nova Scotia)</w:t>
              </w:r>
              <w:r>
                <w:t xml:space="preserve"> and13% (Ontario). Supplies made in the province of Quebec are subject to a provincial value-added tax called Quebec Sales Tax (QST), which generally applies at a rate of 9.975%, in addition to the federal GST. The provinces of British Columbia (generally, 7%), Saskatchewan (6%) and Manitoba (7%) impose a Provincial Sales Tax (PST), which are sales and use taxes, in addition to the federal GST.  By contrast, no PST is levied in Alberta or Canadian Territories, so only the 5% GST applies.</w:t>
              </w:r>
            </w:p>
            <w:p>
              <w:pPr>
                <w:pStyle w:val="BodyText"/>
              </w:pPr>
              <w:r>
                <w:t xml:space="preserve">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02" TargetMode="External" Id="R72e576d8d3274b90" /><Relationship Type="http://schemas.openxmlformats.org/officeDocument/2006/relationships/hyperlink" Target="https://resourcehub.bakermckenzie.com/en#ftnref02" TargetMode="External" Id="Rf1e2dd95305c43e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