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Public M&amp;A Guide - Germany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rPr>
              <w:i/>
            </w:rPr>
            <w:t xml:space="preserve">This content was last reviewed around January 2025.</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Overview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In the last three years, takeover transaction volumes were as follows:</w:t>
                  </w:r>
                </w:p>
                <w:tbl>
                  <w:pPr>
                    <w:pStyle w:val="BodyText"/>
                  </w:pPr>
                  <w:tblPr>
                    <w:tblStyle w:val="TableGrid"/>
                    <w:tblW w:w="0" w:type="auto"/>
                    <w:tblCellSpacing w:w="0" w:type="dxa"/>
                    <w:tblCellMar>
                      <w:top w:w="0" w:type="dxa"/>
                      <w:left w:w="0" w:type="dxa"/>
                      <w:bottom w:w="0" w:type="dxa"/>
                      <w:right w:w="0" w:type="dxa"/>
                    </w:tblCellMar>
                  </w:tblPr>
                  <w:tblGrid>
                    <w:gridCol/>
                    <w:gridCol/>
                    <w:gridCol/>
                    <w:gridCol/>
                    <w:gridCol/>
                    <w:gridCol/>
                    <w:gridCol/>
                    <w:gridCol/>
                    <w:gridCol/>
                  </w:tblGrid>
                  <w:tr>
                    <w:tc>
                      <w:tcPr>
                        <w:vAlign w:val="top"/>
                        <w:vAlign w:val="center"/>
                      </w:tcPr>
                      <w:p>
                        <w:pPr>
                          <w:jc w:val="left"/>
                          <w:spacing w:before="80"/>
                        </w:pPr>
                        <w:r>
                          <w:rPr>
                            <w:color w:val="FFFFFF"/>
                          </w:rPr>
                          <w:t xml:space="preserve">Year</w:t>
                        </w:r>
                      </w:p>
                    </w:tc>
                    <w:tc>
                      <w:tcPr>
                        <w:vAlign w:val="top"/>
                        <w:tcMar>
                          <w:right w:w="108" w:type="dxa"/>
                          <w:left w:w="108" w:type="dxa"/>
                        </w:tcMar>
                        <w:vAlign w:val="center"/>
                      </w:tcPr>
                      <w:p>
                        <w:pPr>
                          <w:jc w:val="left"/>
                          <w:spacing w:before="80"/>
                        </w:pPr>
                        <w:r>
                          <w:rPr>
                            <w:color w:val="FFFFFF"/>
                          </w:rPr>
                          <w:t xml:space="preserve">Mandatory bids</w:t>
                        </w:r>
                      </w:p>
                    </w:tc>
                    <w:tc>
                      <w:tcPr>
                        <w:vAlign w:val="top"/>
                        <w:tcMar>
                          <w:right w:w="108" w:type="dxa"/>
                          <w:left w:w="108" w:type="dxa"/>
                        </w:tcMar>
                        <w:vAlign w:val="center"/>
                      </w:tcPr>
                      <w:p>
                        <w:pPr>
                          <w:jc w:val="left"/>
                          <w:spacing w:before="80"/>
                        </w:pPr>
                        <w:r>
                          <w:rPr>
                            <w:color w:val="FFFFFF"/>
                          </w:rPr>
                          <w:t xml:space="preserve">Of which delisting bids</w:t>
                        </w:r>
                      </w:p>
                    </w:tc>
                    <w:tc>
                      <w:tcPr>
                        <w:vAlign w:val="top"/>
                        <w:tcMar>
                          <w:right w:w="108" w:type="dxa"/>
                          <w:left w:w="108" w:type="dxa"/>
                        </w:tcMar>
                        <w:vAlign w:val="center"/>
                      </w:tcPr>
                      <w:p>
                        <w:pPr>
                          <w:jc w:val="left"/>
                          <w:spacing w:before="80"/>
                        </w:pPr>
                        <w:r>
                          <w:rPr>
                            <w:color w:val="FFFFFF"/>
                          </w:rPr>
                          <w:t xml:space="preserve">Voluntary takeover bids</w:t>
                        </w:r>
                      </w:p>
                    </w:tc>
                    <w:tc>
                      <w:tcPr>
                        <w:vAlign w:val="top"/>
                        <w:tcMar>
                          <w:right w:w="108" w:type="dxa"/>
                          <w:left w:w="108" w:type="dxa"/>
                        </w:tcMar>
                        <w:vAlign w:val="center"/>
                      </w:tcPr>
                      <w:p>
                        <w:pPr>
                          <w:jc w:val="left"/>
                          <w:spacing w:before="80"/>
                        </w:pPr>
                        <w:r>
                          <w:rPr>
                            <w:color w:val="FFFFFF"/>
                          </w:rPr>
                          <w:t xml:space="preserve">Of which delisting bids</w:t>
                        </w:r>
                      </w:p>
                    </w:tc>
                    <w:tc>
                      <w:tcPr>
                        <w:vAlign w:val="top"/>
                        <w:tcMar>
                          <w:right w:w="108" w:type="dxa"/>
                          <w:left w:w="108" w:type="dxa"/>
                        </w:tcMar>
                        <w:vAlign w:val="center"/>
                      </w:tcPr>
                      <w:p>
                        <w:pPr>
                          <w:jc w:val="left"/>
                          <w:spacing w:before="80"/>
                        </w:pPr>
                        <w:r>
                          <w:rPr>
                            <w:color w:val="FFFFFF"/>
                          </w:rPr>
                          <w:t xml:space="preserve">Other voluntary bids</w:t>
                        </w:r>
                      </w:p>
                    </w:tc>
                    <w:tc>
                      <w:tcPr>
                        <w:vAlign w:val="top"/>
                        <w:tcMar>
                          <w:right w:w="108" w:type="dxa"/>
                          <w:left w:w="108" w:type="dxa"/>
                        </w:tcMar>
                        <w:vAlign w:val="center"/>
                      </w:tcPr>
                      <w:p>
                        <w:pPr>
                          <w:jc w:val="left"/>
                          <w:spacing w:before="80"/>
                        </w:pPr>
                        <w:r>
                          <w:rPr>
                            <w:color w:val="FFFFFF"/>
                          </w:rPr>
                          <w:t xml:space="preserve">Of which delisting bids</w:t>
                        </w:r>
                      </w:p>
                    </w:tc>
                    <w:tc>
                      <w:tcPr>
                        <w:vAlign w:val="top"/>
                        <w:tcMar>
                          <w:right w:w="108" w:type="dxa"/>
                          <w:left w:w="108" w:type="dxa"/>
                        </w:tcMar>
                        <w:vAlign w:val="center"/>
                      </w:tcPr>
                      <w:p>
                        <w:pPr>
                          <w:jc w:val="left"/>
                          <w:spacing w:before="80"/>
                        </w:pPr>
                        <w:r>
                          <w:rPr>
                            <w:color w:val="FFFFFF"/>
                          </w:rPr>
                          <w:t xml:space="preserve">Total</w:t>
                        </w:r>
                      </w:p>
                    </w:tc>
                    <w:tc>
                      <w:tcPr>
                        <w:vAlign w:val="top"/>
                        <w:tcMar>
                          <w:right w:w="108" w:type="dxa"/>
                          <w:left w:w="108" w:type="dxa"/>
                        </w:tcMar>
                        <w:vAlign w:val="center"/>
                      </w:tcPr>
                      <w:p>
                        <w:pPr>
                          <w:jc w:val="left"/>
                          <w:spacing w:before="80"/>
                        </w:pPr>
                        <w:r>
                          <w:rPr>
                            <w:color w:val="FFFFFF"/>
                          </w:rPr>
                          <w:t xml:space="preserve">Total delisting bids</w:t>
                        </w:r>
                      </w:p>
                    </w:tc>
                  </w:tr>
                  <w:tr>
                    <w:tc>
                      <w:tcPr>
                        <w:vAlign w:val="top"/>
                        <w:vAlign w:val="center"/>
                      </w:tcPr>
                      <w:p>
                        <w:pPr>
                          <w:jc w:val="left"/>
                          <w:spacing w:before="80"/>
                        </w:pPr>
                        <w:r>
                          <w:t xml:space="preserve">2024</w:t>
                        </w:r>
                      </w:p>
                    </w:tc>
                    <w:tc>
                      <w:tcPr>
                        <w:vAlign w:val="top"/>
                        <w:tcMar>
                          <w:right w:w="108" w:type="dxa"/>
                          <w:left w:w="108" w:type="dxa"/>
                        </w:tcMar>
                        <w:vAlign w:val="center"/>
                      </w:tcPr>
                      <w:p>
                        <w:pPr>
                          <w:jc w:val="left"/>
                          <w:spacing w:before="80"/>
                        </w:pPr>
                        <w:r>
                          <w:t xml:space="preserve">6</w:t>
                        </w:r>
                      </w:p>
                    </w:tc>
                    <w:tc>
                      <w:tcPr>
                        <w:vAlign w:val="top"/>
                        <w:tcMar>
                          <w:right w:w="108" w:type="dxa"/>
                          <w:left w:w="108" w:type="dxa"/>
                        </w:tcMar>
                        <w:vAlign w:val="center"/>
                      </w:tcPr>
                      <w:p>
                        <w:pPr>
                          <w:jc w:val="left"/>
                          <w:spacing w:before="80"/>
                        </w:pPr>
                        <w:r>
                          <w:t xml:space="preserve">2</w:t>
                        </w:r>
                      </w:p>
                    </w:tc>
                    <w:tc>
                      <w:tcPr>
                        <w:vAlign w:val="top"/>
                        <w:tcMar>
                          <w:right w:w="108" w:type="dxa"/>
                          <w:left w:w="108" w:type="dxa"/>
                        </w:tcMar>
                        <w:vAlign w:val="center"/>
                      </w:tcPr>
                      <w:p>
                        <w:pPr>
                          <w:jc w:val="left"/>
                          <w:spacing w:before="80"/>
                        </w:pPr>
                        <w:r>
                          <w:t xml:space="preserve">11</w:t>
                        </w:r>
                      </w:p>
                    </w:tc>
                    <w:tc>
                      <w:tcPr>
                        <w:vAlign w:val="top"/>
                        <w:tcMar>
                          <w:right w:w="108" w:type="dxa"/>
                          <w:left w:w="108" w:type="dxa"/>
                        </w:tcMar>
                        <w:vAlign w:val="center"/>
                      </w:tcPr>
                      <w:p>
                        <w:pPr>
                          <w:jc w:val="left"/>
                          <w:spacing w:before="80"/>
                        </w:pPr>
                        <w:r>
                          <w:t xml:space="preserve">3</w:t>
                        </w:r>
                      </w:p>
                    </w:tc>
                    <w:tc>
                      <w:tcPr>
                        <w:vAlign w:val="top"/>
                        <w:tcMar>
                          <w:right w:w="108" w:type="dxa"/>
                          <w:left w:w="108" w:type="dxa"/>
                        </w:tcMar>
                        <w:vAlign w:val="center"/>
                      </w:tcPr>
                      <w:p>
                        <w:pPr>
                          <w:jc w:val="left"/>
                          <w:spacing w:before="80"/>
                        </w:pPr>
                        <w:r>
                          <w:t xml:space="preserve">13</w:t>
                        </w:r>
                      </w:p>
                    </w:tc>
                    <w:tc>
                      <w:tcPr>
                        <w:vAlign w:val="top"/>
                        <w:tcMar>
                          <w:right w:w="108" w:type="dxa"/>
                          <w:left w:w="108" w:type="dxa"/>
                        </w:tcMar>
                        <w:vAlign w:val="center"/>
                      </w:tcPr>
                      <w:p>
                        <w:pPr>
                          <w:jc w:val="left"/>
                          <w:spacing w:before="80"/>
                        </w:pPr>
                        <w:r>
                          <w:t xml:space="preserve">13</w:t>
                        </w:r>
                      </w:p>
                    </w:tc>
                    <w:tc>
                      <w:tcPr>
                        <w:vAlign w:val="top"/>
                        <w:tcMar>
                          <w:right w:w="108" w:type="dxa"/>
                          <w:left w:w="108" w:type="dxa"/>
                        </w:tcMar>
                        <w:vAlign w:val="center"/>
                      </w:tcPr>
                      <w:p>
                        <w:pPr>
                          <w:jc w:val="left"/>
                          <w:spacing w:before="80"/>
                        </w:pPr>
                        <w:r>
                          <w:t xml:space="preserve">30</w:t>
                        </w:r>
                      </w:p>
                    </w:tc>
                    <w:tc>
                      <w:tcPr>
                        <w:vAlign w:val="top"/>
                        <w:tcMar>
                          <w:right w:w="108" w:type="dxa"/>
                          <w:left w:w="108" w:type="dxa"/>
                        </w:tcMar>
                        <w:vAlign w:val="center"/>
                      </w:tcPr>
                      <w:p>
                        <w:pPr>
                          <w:jc w:val="left"/>
                          <w:spacing w:before="80"/>
                        </w:pPr>
                        <w:r>
                          <w:t xml:space="preserve">18</w:t>
                        </w:r>
                      </w:p>
                    </w:tc>
                  </w:tr>
                  <w:tr>
                    <w:tc>
                      <w:tcPr>
                        <w:vAlign w:val="top"/>
                        <w:vAlign w:val="center"/>
                      </w:tcPr>
                      <w:p>
                        <w:pPr>
                          <w:jc w:val="left"/>
                          <w:spacing w:before="80"/>
                        </w:pPr>
                        <w:r>
                          <w:t xml:space="preserve">2023</w:t>
                        </w:r>
                      </w:p>
                    </w:tc>
                    <w:tc>
                      <w:tcPr>
                        <w:vAlign w:val="top"/>
                        <w:tcMar>
                          <w:right w:w="108" w:type="dxa"/>
                          <w:left w:w="108" w:type="dxa"/>
                        </w:tcMar>
                        <w:vAlign w:val="center"/>
                      </w:tcPr>
                      <w:p>
                        <w:pPr>
                          <w:jc w:val="left"/>
                          <w:spacing w:before="80"/>
                        </w:pPr>
                        <w:r>
                          <w:t xml:space="preserve">1</w:t>
                        </w:r>
                      </w:p>
                    </w:tc>
                    <w:tc>
                      <w:tcPr>
                        <w:vAlign w:val="top"/>
                        <w:tcMar>
                          <w:right w:w="108" w:type="dxa"/>
                          <w:left w:w="108" w:type="dxa"/>
                        </w:tcMar>
                        <w:vAlign w:val="center"/>
                      </w:tcPr>
                      <w:p>
                        <w:pPr>
                          <w:jc w:val="left"/>
                          <w:spacing w:before="80"/>
                        </w:pPr>
                        <w:r>
                          <w:t xml:space="preserve">0</w:t>
                        </w:r>
                      </w:p>
                    </w:tc>
                    <w:tc>
                      <w:tcPr>
                        <w:vAlign w:val="top"/>
                        <w:tcMar>
                          <w:right w:w="108" w:type="dxa"/>
                          <w:left w:w="108" w:type="dxa"/>
                        </w:tcMar>
                        <w:vAlign w:val="center"/>
                      </w:tcPr>
                      <w:p>
                        <w:pPr>
                          <w:jc w:val="left"/>
                          <w:spacing w:before="80"/>
                        </w:pPr>
                        <w:r>
                          <w:t xml:space="preserve">2</w:t>
                        </w:r>
                      </w:p>
                    </w:tc>
                    <w:tc>
                      <w:tcPr>
                        <w:vAlign w:val="top"/>
                        <w:tcMar>
                          <w:right w:w="108" w:type="dxa"/>
                          <w:left w:w="108" w:type="dxa"/>
                        </w:tcMar>
                        <w:vAlign w:val="center"/>
                      </w:tcPr>
                      <w:p>
                        <w:pPr>
                          <w:jc w:val="left"/>
                          <w:spacing w:before="80"/>
                        </w:pPr>
                        <w:r>
                          <w:t xml:space="preserve">0</w:t>
                        </w:r>
                      </w:p>
                    </w:tc>
                    <w:tc>
                      <w:tcPr>
                        <w:vAlign w:val="top"/>
                        <w:tcMar>
                          <w:right w:w="108" w:type="dxa"/>
                          <w:left w:w="108" w:type="dxa"/>
                        </w:tcMar>
                        <w:vAlign w:val="center"/>
                      </w:tcPr>
                      <w:p>
                        <w:pPr>
                          <w:jc w:val="left"/>
                          <w:spacing w:before="80"/>
                        </w:pPr>
                        <w:r>
                          <w:t xml:space="preserve">5</w:t>
                        </w:r>
                      </w:p>
                    </w:tc>
                    <w:tc>
                      <w:tcPr>
                        <w:vAlign w:val="top"/>
                        <w:tcMar>
                          <w:right w:w="108" w:type="dxa"/>
                          <w:left w:w="108" w:type="dxa"/>
                        </w:tcMar>
                        <w:vAlign w:val="center"/>
                      </w:tcPr>
                      <w:p>
                        <w:pPr>
                          <w:jc w:val="left"/>
                          <w:spacing w:before="80"/>
                        </w:pPr>
                        <w:r>
                          <w:t xml:space="preserve">2</w:t>
                        </w:r>
                      </w:p>
                    </w:tc>
                    <w:tc>
                      <w:tcPr>
                        <w:vAlign w:val="top"/>
                        <w:tcMar>
                          <w:right w:w="108" w:type="dxa"/>
                          <w:left w:w="108" w:type="dxa"/>
                        </w:tcMar>
                        <w:vAlign w:val="center"/>
                      </w:tcPr>
                      <w:p>
                        <w:pPr>
                          <w:jc w:val="left"/>
                          <w:spacing w:before="80"/>
                        </w:pPr>
                        <w:r>
                          <w:t xml:space="preserve">8</w:t>
                        </w:r>
                      </w:p>
                    </w:tc>
                    <w:tc>
                      <w:tcPr>
                        <w:vAlign w:val="top"/>
                        <w:tcMar>
                          <w:right w:w="108" w:type="dxa"/>
                          <w:left w:w="108" w:type="dxa"/>
                        </w:tcMar>
                        <w:vAlign w:val="center"/>
                      </w:tcPr>
                      <w:p>
                        <w:pPr>
                          <w:jc w:val="left"/>
                          <w:spacing w:before="80"/>
                        </w:pPr>
                        <w:r>
                          <w:t xml:space="preserve">2</w:t>
                        </w:r>
                      </w:p>
                    </w:tc>
                  </w:tr>
                  <w:tr>
                    <w:tc>
                      <w:tcPr>
                        <w:vAlign w:val="top"/>
                        <w:vAlign w:val="center"/>
                      </w:tcPr>
                      <w:p>
                        <w:pPr>
                          <w:jc w:val="left"/>
                          <w:spacing w:before="80"/>
                        </w:pPr>
                        <w:r>
                          <w:t xml:space="preserve">2022</w:t>
                        </w:r>
                      </w:p>
                    </w:tc>
                    <w:tc>
                      <w:tcPr>
                        <w:vAlign w:val="top"/>
                        <w:tcMar>
                          <w:right w:w="108" w:type="dxa"/>
                          <w:left w:w="108" w:type="dxa"/>
                        </w:tcMar>
                        <w:vAlign w:val="center"/>
                      </w:tcPr>
                      <w:p>
                        <w:pPr>
                          <w:jc w:val="left"/>
                          <w:spacing w:before="80"/>
                        </w:pPr>
                        <w:r>
                          <w:t xml:space="preserve">8</w:t>
                        </w:r>
                      </w:p>
                    </w:tc>
                    <w:tc>
                      <w:tcPr>
                        <w:vAlign w:val="top"/>
                        <w:tcMar>
                          <w:right w:w="108" w:type="dxa"/>
                          <w:left w:w="108" w:type="dxa"/>
                        </w:tcMar>
                        <w:vAlign w:val="center"/>
                      </w:tcPr>
                      <w:p>
                        <w:pPr>
                          <w:jc w:val="left"/>
                          <w:spacing w:before="80"/>
                        </w:pPr>
                        <w:r>
                          <w:t xml:space="preserve">2</w:t>
                        </w:r>
                      </w:p>
                    </w:tc>
                    <w:tc>
                      <w:tcPr>
                        <w:vAlign w:val="top"/>
                        <w:tcMar>
                          <w:right w:w="108" w:type="dxa"/>
                          <w:left w:w="108" w:type="dxa"/>
                        </w:tcMar>
                        <w:vAlign w:val="center"/>
                      </w:tcPr>
                      <w:p>
                        <w:pPr>
                          <w:jc w:val="left"/>
                          <w:spacing w:before="80"/>
                        </w:pPr>
                        <w:r>
                          <w:t xml:space="preserve">14</w:t>
                        </w:r>
                      </w:p>
                    </w:tc>
                    <w:tc>
                      <w:tcPr>
                        <w:vAlign w:val="top"/>
                        <w:tcMar>
                          <w:right w:w="108" w:type="dxa"/>
                          <w:left w:w="108" w:type="dxa"/>
                        </w:tcMar>
                        <w:vAlign w:val="center"/>
                      </w:tcPr>
                      <w:p>
                        <w:pPr>
                          <w:jc w:val="left"/>
                          <w:spacing w:before="80"/>
                        </w:pPr>
                        <w:r>
                          <w:t xml:space="preserve">3</w:t>
                        </w:r>
                      </w:p>
                    </w:tc>
                    <w:tc>
                      <w:tcPr>
                        <w:vAlign w:val="top"/>
                        <w:tcMar>
                          <w:right w:w="108" w:type="dxa"/>
                          <w:left w:w="108" w:type="dxa"/>
                        </w:tcMar>
                        <w:vAlign w:val="center"/>
                      </w:tcPr>
                      <w:p>
                        <w:pPr>
                          <w:jc w:val="left"/>
                          <w:spacing w:before="80"/>
                        </w:pPr>
                        <w:r>
                          <w:t xml:space="preserve">9</w:t>
                        </w:r>
                      </w:p>
                    </w:tc>
                    <w:tc>
                      <w:tcPr>
                        <w:vAlign w:val="top"/>
                        <w:tcMar>
                          <w:right w:w="108" w:type="dxa"/>
                          <w:left w:w="108" w:type="dxa"/>
                        </w:tcMar>
                        <w:vAlign w:val="center"/>
                      </w:tcPr>
                      <w:p>
                        <w:pPr>
                          <w:jc w:val="left"/>
                          <w:spacing w:before="80"/>
                        </w:pPr>
                        <w:r>
                          <w:t xml:space="preserve">8</w:t>
                        </w:r>
                      </w:p>
                    </w:tc>
                    <w:tc>
                      <w:tcPr>
                        <w:vAlign w:val="top"/>
                        <w:tcMar>
                          <w:right w:w="108" w:type="dxa"/>
                          <w:left w:w="108" w:type="dxa"/>
                        </w:tcMar>
                        <w:vAlign w:val="center"/>
                      </w:tcPr>
                      <w:p>
                        <w:pPr>
                          <w:jc w:val="left"/>
                          <w:spacing w:before="80"/>
                        </w:pPr>
                        <w:r>
                          <w:t xml:space="preserve">31</w:t>
                        </w:r>
                      </w:p>
                    </w:tc>
                    <w:tc>
                      <w:tcPr>
                        <w:vAlign w:val="top"/>
                        <w:tcMar>
                          <w:right w:w="108" w:type="dxa"/>
                          <w:left w:w="108" w:type="dxa"/>
                        </w:tcMar>
                        <w:vAlign w:val="center"/>
                      </w:tcPr>
                      <w:p>
                        <w:pPr>
                          <w:jc w:val="left"/>
                          <w:spacing w:before="80"/>
                        </w:pPr>
                        <w:r>
                          <w:t xml:space="preserve">13</w:t>
                        </w:r>
                      </w:p>
                    </w:tc>
                  </w:tr>
                </w:tbl>
                <w:p>
                  <w:pPr>
                    <w:pStyle w:val="BodyText"/>
                  </w:pPr>
                  <w:r>
                    <w:t xml:space="preserve">German companies are often technological leaders and often highly profitable. Accordingly, they have been and will continue to be attractive takeover targets. Recent highlights were the takeovers of Covestro (a chemicals manufacturer) by ADNOC, of MorphoSys (a biotech company) by Novartis (takeover offer followed by de-listing offer), Software AG by Silver Lake (takeover offer followed by de-listing offer), the Port of Hamburg by MSC, a shipping company (creation of a joint venture), of Vantage Towers by a consortium of financial investors, SLM Solutions (a 3D-printing company) by Nikon, and Aareal Bank by Advent. Overall, there is an abundance of strategic acquisitions with a few private equity investments and a large number of de-listings. More than half of all offers had a de-listing background. In some cases, the bidder launched a "normal" takeover bid followed by a delisting bid a few months later.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General Legal Framework</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General Legal Framework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The main rules and principles of German law relating to public takeover bids can be found in:</w:t>
                  </w:r>
                </w:p>
                <w:p>
                  <w:pPr>
                    <w:pStyle w:val="BodyText"/>
                  </w:pPr>
                  <w:pPr>
                    <w:pStyle w:val="ListParagraph"/>
                    <w:numPr>
                      <w:ilvl w:val="0"/>
                      <w:numId w:val="40"/>
                    </w:numPr>
                  </w:pPr>
                  <w:r>
                    <w:t xml:space="preserve">the Act on the Acquisition of Securities and on Takeovers ("</w:t>
                  </w:r>
                  <w:r>
                    <w:rPr>
                      <w:b/>
                    </w:rPr>
                    <w:t xml:space="preserve">Takeover Act</w:t>
                  </w:r>
                  <w:r>
                    <w:t xml:space="preserve">"); and</w:t>
                  </w:r>
                </w:p>
                <w:p>
                  <w:pPr>
                    <w:pStyle w:val="BodyText"/>
                  </w:pPr>
                  <w:pPr>
                    <w:pStyle w:val="ListParagraph"/>
                    <w:numPr>
                      <w:ilvl w:val="0"/>
                      <w:numId w:val="40"/>
                    </w:numPr>
                  </w:pPr>
                  <w:r>
                    <w:t xml:space="preserve">several accompanying regulations, most importantly the Regulation Concerning the Contents of the Offer Document, the Consideration for Takeover Bids and Mandatory Bids, and Exemptions from Obligation to Publish and Launch a Bid ("</w:t>
                  </w:r>
                  <w:r>
                    <w:rPr>
                      <w:b/>
                    </w:rPr>
                    <w:t xml:space="preserve">Bid Regulation</w:t>
                  </w:r>
                  <w:r>
                    <w:t xml:space="preserve">"), all of which entered into force at the beginning of 2002, but have been frequently revised.</w:t>
                  </w:r>
                </w:p>
                <w:p>
                  <w:pPr>
                    <w:pStyle w:val="BodyText"/>
                  </w:pPr>
                  <w:r>
                    <w:t xml:space="preserve">The main body of the German takeover legislation reflects Directive 2004/25/EC of the European Parliament and of the Council of 21 April 2004 on takeover bids ("</w:t>
                  </w:r>
                  <w:r>
                    <w:rPr>
                      <w:b/>
                    </w:rPr>
                    <w:t xml:space="preserve">Takeover Directive</w:t>
                  </w:r>
                  <w:r>
                    <w:t xml:space="preserve">"). This directive was aimed at harmonizing the rules on public takeover bids of the different Member States of the European Economic Area ("</w:t>
                  </w:r>
                  <w:r>
                    <w:rPr>
                      <w:b/>
                    </w:rPr>
                    <w:t xml:space="preserve">EEA</w:t>
                  </w:r>
                  <w:r>
                    <w:t xml:space="preserve">"). Be that as it may, the Takeover Directive still allows Member States to take different approaches in connection with some important features of a public takeover bid (such as the percentage of shares that, upon acquisition, triggers a mandatory public takeover bid on the remaining shares of the target company, and the powers of the board of directors). Additionally, the underlying company laws have only been harmonized to a very limited degree. Accordingly, there are still relevant differences in the national rules of the respective Member States of the EEA regarding public takeover bids.</w:t>
                  </w:r>
                </w:p>
                <w:p>
                  <w:pPr>
                    <w:pStyle w:val="BodyText"/>
                  </w:pPr>
                  <w:r>
                    <w:rPr>
                      <w:b/>
                    </w:rPr>
                    <w:t xml:space="preserve">2.2 Other rules and principles</w:t>
                  </w:r>
                </w:p>
                <w:p>
                  <w:pPr>
                    <w:pStyle w:val="BodyText"/>
                  </w:pPr>
                  <w:r>
                    <w:t xml:space="preserve">While the aforementioned legislation contains the main legal framework for public takeover bids in Germany, there are a number of additional rules and principles that are to be taken into account when preparing or conducting a public takeover bid, such as:</w:t>
                  </w:r>
                </w:p>
                <w:p>
                  <w:pPr>
                    <w:pStyle w:val="BodyText"/>
                  </w:pPr>
                  <w:pPr>
                    <w:pStyle w:val="ListParagraph"/>
                    <w:numPr>
                      <w:ilvl w:val="0"/>
                      <w:numId w:val="41"/>
                    </w:numPr>
                  </w:pPr>
                  <w:r>
                    <w:t xml:space="preserve">The rules relating to the disclosure of significant shareholdings in listed companies (the so-called transparency rules). These rules are based on Directive 2004/109/EC of the European Parliament and of the Council of 15 December 2004 (last major amendment by Directive 2013/50/EU, last amended by Regulation (EU) 2021/337) on the harmonization of transparency requirements in relation to information about issuers whose securities are admitted to trading on a regulated market and amending Directive 2001/34/EC and related EU legislation. For further information, see 3.4 below.</w:t>
                  </w:r>
                </w:p>
                <w:p>
                  <w:pPr>
                    <w:pStyle w:val="BodyText"/>
                  </w:pPr>
                  <w:pPr>
                    <w:pStyle w:val="ListParagraph"/>
                    <w:numPr>
                      <w:ilvl w:val="0"/>
                      <w:numId w:val="41"/>
                    </w:numPr>
                  </w:pPr>
                  <w:r>
                    <w:t xml:space="preserve">The rules relating to insider dealing and market manipulation (the so-called market abuse rules). These rules are set forth in Regulation 596/2014 of the European Parliament and of the Council of 16 April 2014 on market abuse, as amended ("</w:t>
                  </w:r>
                  <w:r>
                    <w:rPr>
                      <w:b/>
                    </w:rPr>
                    <w:t xml:space="preserve">MAR</w:t>
                  </w:r>
                  <w:r>
                    <w:t xml:space="preserve">"), and related EU legislation. For further information, see 6.3 below.</w:t>
                  </w:r>
                </w:p>
                <w:p>
                  <w:pPr>
                    <w:pStyle w:val="BodyText"/>
                  </w:pPr>
                  <w:pPr>
                    <w:pStyle w:val="ListParagraph"/>
                    <w:numPr>
                      <w:ilvl w:val="0"/>
                      <w:numId w:val="41"/>
                    </w:numPr>
                  </w:pPr>
                  <w:r>
                    <w:t xml:space="preserve">The rules relating to the public offer of securities and the admission to trading of these securities on a regulated market. These rules could be relevant if the consideration that is offered in the public takeover bid consists of securities. These rules are based on the EU Prospectus Regulation (EU) 2017/1129 on the prospectus to be published when securities are offered to the public or admitted to trading and repealing Directive 2003/71/EC (last amended by Regulation (EU) 2021/337).</w:t>
                  </w:r>
                </w:p>
                <w:p>
                  <w:pPr>
                    <w:pStyle w:val="BodyText"/>
                  </w:pPr>
                  <w:pPr>
                    <w:pStyle w:val="ListParagraph"/>
                    <w:numPr>
                      <w:ilvl w:val="0"/>
                      <w:numId w:val="41"/>
                    </w:numPr>
                  </w:pPr>
                  <w:r>
                    <w:t xml:space="preserve">The Exchange Act (</w:t>
                  </w:r>
                  <w:r>
                    <w:rPr>
                      <w:i/>
                    </w:rPr>
                    <w:t xml:space="preserve">Börsengesetz</w:t>
                  </w:r>
                  <w:r>
                    <w:t xml:space="preserve">) to the extent that a voluntary de-listing requires a prior unconditional public bid to the shareholders to purchase their shares at a certain minimum price.</w:t>
                  </w:r>
                </w:p>
                <w:p>
                  <w:pPr>
                    <w:pStyle w:val="BodyText"/>
                  </w:pPr>
                  <w:pPr>
                    <w:pStyle w:val="ListParagraph"/>
                    <w:numPr>
                      <w:ilvl w:val="0"/>
                      <w:numId w:val="41"/>
                    </w:numPr>
                  </w:pPr>
                  <w:r>
                    <w:t xml:space="preserve">Corporate (stock corporation) law, notably the provisions on a squeeze-out of minority shareholders, but also more generally those on rights and obligations of the target company's corporate bodies.</w:t>
                  </w:r>
                </w:p>
                <w:p>
                  <w:pPr>
                    <w:pStyle w:val="BodyText"/>
                  </w:pPr>
                  <w:pPr>
                    <w:pStyle w:val="ListParagraph"/>
                    <w:numPr>
                      <w:ilvl w:val="0"/>
                      <w:numId w:val="41"/>
                    </w:numPr>
                  </w:pPr>
                  <w:r>
                    <w:t xml:space="preserve">The general rules on the supervision and control of the financial markets.</w:t>
                  </w:r>
                </w:p>
                <w:p>
                  <w:pPr>
                    <w:pStyle w:val="BodyText"/>
                  </w:pPr>
                  <w:pPr>
                    <w:pStyle w:val="ListParagraph"/>
                    <w:numPr>
                      <w:ilvl w:val="0"/>
                      <w:numId w:val="41"/>
                    </w:numPr>
                  </w:pPr>
                  <w:r>
                    <w:t xml:space="preserve">The rules and regulations regarding merger control.</w:t>
                  </w:r>
                </w:p>
                <w:p>
                  <w:pPr>
                    <w:pStyle w:val="BodyText"/>
                  </w:pPr>
                  <w:pPr>
                    <w:pStyle w:val="ListParagraph"/>
                    <w:numPr>
                      <w:ilvl w:val="0"/>
                      <w:numId w:val="41"/>
                    </w:numPr>
                  </w:pPr>
                  <w:r>
                    <w:t xml:space="preserve">The rules regarding foreign direct investment by foreign bidders or bidders with a foreign parent (see 2.5 below).</w:t>
                  </w:r>
                </w:p>
                <w:p>
                  <w:pPr>
                    <w:pStyle w:val="BodyText"/>
                  </w:pPr>
                  <w:r>
                    <w:rPr>
                      <w:b/>
                    </w:rPr>
                    <w:t xml:space="preserve">These rules and regulations are not further discussed herein, or are only discussed to a very limited extent.</w:t>
                  </w:r>
                </w:p>
                <w:p>
                  <w:pPr>
                    <w:pStyle w:val="BodyText"/>
                  </w:pPr>
                  <w:r>
                    <w:br/>
                  </w:r>
                </w:p>
                <w:p>
                  <w:pPr>
                    <w:pStyle w:val="BodyText"/>
                  </w:pPr>
                  <w:r>
                    <w:rPr>
                      <w:b/>
                    </w:rPr>
                    <w:t xml:space="preserve">2.3 Supervision and enforcement by BaFin</w:t>
                  </w:r>
                </w:p>
                <w:p>
                  <w:pPr>
                    <w:pStyle w:val="BodyText"/>
                  </w:pPr>
                  <w:r>
                    <w:t xml:space="preserve">Public takeover bids are subject to the supervision and control of the Federal Financial Supervisory Authority (</w:t>
                  </w:r>
                  <w:r>
                    <w:rPr>
                      <w:i/>
                    </w:rPr>
                    <w:t xml:space="preserve">Bundesanstalt für Finanzdienstleistungsaufsicht</w:t>
                  </w:r>
                  <w:r>
                    <w:t xml:space="preserve"> or the "</w:t>
                  </w:r>
                  <w:r>
                    <w:rPr>
                      <w:b/>
                    </w:rPr>
                    <w:t xml:space="preserve">BaFin</w:t>
                  </w:r>
                  <w:r>
                    <w:t xml:space="preserve">"). BaFin is the principal securities regulator in Germany.</w:t>
                  </w:r>
                </w:p>
                <w:p>
                  <w:pPr>
                    <w:pStyle w:val="BodyText"/>
                  </w:pPr>
                  <w:r>
                    <w:t xml:space="preserve">BaFin has a number of legal tools that it can use to supervise and enforce compliance with the public takeover bid rules, including administrative fines. In addition, criminal penalties could be imposed in case of non-compliance.</w:t>
                  </w:r>
                </w:p>
                <w:p>
                  <w:pPr>
                    <w:pStyle w:val="BodyText"/>
                  </w:pPr>
                  <w:r>
                    <w:t xml:space="preserve">BaFin also has the power to grant (in certain cases) exemptions from the rules that would otherwise apply to a public takeover bid.</w:t>
                  </w:r>
                </w:p>
                <w:p>
                  <w:pPr>
                    <w:pStyle w:val="BodyText"/>
                  </w:pPr>
                  <w:r>
                    <w:rPr>
                      <w:b/>
                    </w:rPr>
                    <w:t xml:space="preserve">2.4 General principles</w:t>
                  </w:r>
                </w:p>
                <w:p>
                  <w:pPr>
                    <w:pStyle w:val="BodyText"/>
                  </w:pPr>
                  <w:r>
                    <w:t xml:space="preserve">The following general principles apply to public takeovers in Germany. These rules are partly based on the Takeover Directive:</w:t>
                  </w:r>
                </w:p>
                <w:p>
                  <w:pPr>
                    <w:pStyle w:val="BodyText"/>
                  </w:pPr>
                  <w:pPr>
                    <w:pStyle w:val="ListParagraph"/>
                    <w:numPr>
                      <w:ilvl w:val="0"/>
                      <w:numId w:val="42"/>
                    </w:numPr>
                  </w:pPr>
                  <w:r>
                    <w:t xml:space="preserve">all holders of securities of a target company of the same class must be afforded equal treatment. Moreover, if a person acquires control of a company, the other holders of securities must be protected;</w:t>
                  </w:r>
                </w:p>
                <w:p>
                  <w:pPr>
                    <w:pStyle w:val="BodyText"/>
                  </w:pPr>
                  <w:pPr>
                    <w:pStyle w:val="ListParagraph"/>
                    <w:numPr>
                      <w:ilvl w:val="0"/>
                      <w:numId w:val="42"/>
                    </w:numPr>
                  </w:pPr>
                  <w:r>
                    <w:t xml:space="preserve">the holders of securities of a target company must have sufficient time and information to enable them to reach a properly informed decision on the bid. The management board and supervisory board of the target company must give their views on the bid – in particular on price - and on the effects of implementation of the bid on employment, conditions of employment and the locations of the company's places of business;</w:t>
                  </w:r>
                </w:p>
                <w:p>
                  <w:pPr>
                    <w:pStyle w:val="BodyText"/>
                  </w:pPr>
                  <w:pPr>
                    <w:pStyle w:val="ListParagraph"/>
                    <w:numPr>
                      <w:ilvl w:val="0"/>
                      <w:numId w:val="42"/>
                    </w:numPr>
                  </w:pPr>
                  <w:r>
                    <w:t xml:space="preserve">the management board and advisory board of a target company must act in the best interest of the company as a whole and must not deny the holders of securities the opportunity to decide on the merits of the bid;</w:t>
                  </w:r>
                </w:p>
                <w:p>
                  <w:pPr>
                    <w:pStyle w:val="BodyText"/>
                  </w:pPr>
                  <w:pPr>
                    <w:pStyle w:val="ListParagraph"/>
                    <w:numPr>
                      <w:ilvl w:val="0"/>
                      <w:numId w:val="42"/>
                    </w:numPr>
                  </w:pPr>
                  <w:r>
                    <w:t xml:space="preserve">the person or legal entity making the offer ("</w:t>
                  </w:r>
                  <w:r>
                    <w:rPr>
                      <w:b/>
                    </w:rPr>
                    <w:t xml:space="preserve">Bidder</w:t>
                  </w:r>
                  <w:r>
                    <w:t xml:space="preserve">") and the target company must execute the offer expeditiously;</w:t>
                  </w:r>
                </w:p>
                <w:p>
                  <w:pPr>
                    <w:pStyle w:val="BodyText"/>
                  </w:pPr>
                  <w:pPr>
                    <w:pStyle w:val="ListParagraph"/>
                    <w:numPr>
                      <w:ilvl w:val="0"/>
                      <w:numId w:val="42"/>
                    </w:numPr>
                  </w:pPr>
                  <w:r>
                    <w:t xml:space="preserve">false markets must not be created in the securities of the target company, the Bidder company or any other company concerned by the bid in such a way that the rise or fall of the prices of their securities becomes artificial and the normal functioning of the markets is distorted;</w:t>
                  </w:r>
                </w:p>
                <w:p>
                  <w:pPr>
                    <w:pStyle w:val="BodyText"/>
                  </w:pPr>
                  <w:pPr>
                    <w:pStyle w:val="ListParagraph"/>
                    <w:numPr>
                      <w:ilvl w:val="0"/>
                      <w:numId w:val="42"/>
                    </w:numPr>
                  </w:pPr>
                  <w:r>
                    <w:t xml:space="preserve">a Bidder must announce a bid only after ensuring that they can fulfil any cash consideration in full, if such is offered, and after taking reasonable measures to secure the implementation of any other type of consideration (certain financing); and</w:t>
                  </w:r>
                </w:p>
                <w:p>
                  <w:pPr>
                    <w:pStyle w:val="BodyText"/>
                  </w:pPr>
                  <w:pPr>
                    <w:pStyle w:val="ListParagraph"/>
                    <w:numPr>
                      <w:ilvl w:val="0"/>
                      <w:numId w:val="42"/>
                    </w:numPr>
                  </w:pPr>
                  <w:r>
                    <w:t xml:space="preserve">a target company must not be hindered in the conduct of its affairs for longer than it is reasonable by a bid for its securities.</w:t>
                  </w:r>
                </w:p>
                <w:p>
                  <w:pPr>
                    <w:pStyle w:val="BodyText"/>
                  </w:pPr>
                  <w:r>
                    <w:rPr>
                      <w:b/>
                    </w:rPr>
                    <w:t xml:space="preserve">2.5 Foreign investment restrictions</w:t>
                  </w:r>
                </w:p>
                <w:p>
                  <w:pPr>
                    <w:pStyle w:val="BodyText"/>
                  </w:pPr>
                  <w:r>
                    <w:t xml:space="preserve">Germany has long embraced foreign investment, imposing few limits on foreign investors and offering them the same rights and benefits as domestic acquirers. In light of a number of large investments that have led to increased wariness among the German public, particularly concerning Chinese investments, Germany has strengthened and continues to strengthen its foreign investment review laws through a number of consecutive reforms. A reform of the foreign investment restrictions in 2021 introduced 16 additional categories of business activities triggering a mandatory notification requirement in Germany. No additional categories triggering a mandatory foreign investment filing requirement have been introduced since. The categories then introduced particularly concern future and key technologies, such as artificial intelligence, robotics or autonomous driving. The voting rights thresholds differ depending on the German target's business activity and may generally be 10, 20 or 25%. Regulation (EU) 2019/452 (EU Screening-Regulation) entered into force in October 2020 and created a common EU-wide regulatory framework on foreign investment review, which the EU Commission intends to reinforce per a draft amendment regulation from early 2024. In its current form, the EU Screening Regulation obliges, among other coordination efforts, EU member states to take the impact of foreign investments on other EU member states into account when reviewing foreign investments. In 2023, the competent Federal Ministry for Economic Affairs and Climate Action (</w:t>
                  </w:r>
                  <w:r>
                    <w:rPr>
                      <w:i/>
                    </w:rPr>
                    <w:t xml:space="preserve">Bundesministerium für Wirtschaft und Klimaschutz</w:t>
                  </w:r>
                  <w:r>
                    <w:t xml:space="preserve">) (BMWK) conducted 106 foreign investment reviews. This number rose sharply to 306 cases in 2021. In 2023, BMWK conducted 257 foreign investment reviews. In most of the acquisitions considered sensitive, the government managed to conclude contracts with the parties to deter potential threats deriving from foreign acquisitions.</w:t>
                  </w:r>
                </w:p>
                <w:p>
                  <w:pPr>
                    <w:pStyle w:val="BodyText"/>
                  </w:pPr>
                  <w:r>
                    <w:t xml:space="preserve">In Germany, the Foreign Investment Review ("</w:t>
                  </w:r>
                  <w:r>
                    <w:rPr>
                      <w:b/>
                    </w:rPr>
                    <w:t xml:space="preserve">FIR</w:t>
                  </w:r>
                  <w:r>
                    <w:t xml:space="preserve">") falls into two categories:</w:t>
                  </w:r>
                </w:p>
                <w:p>
                  <w:pPr>
                    <w:pStyle w:val="BodyText"/>
                  </w:pPr>
                  <w:pPr>
                    <w:pStyle w:val="ListParagraph"/>
                    <w:numPr>
                      <w:ilvl w:val="0"/>
                      <w:numId w:val="43"/>
                    </w:numPr>
                  </w:pPr>
                  <w:r>
                    <w:t xml:space="preserve">Cross-sector reviews (Sections 55-59 Foreign Trade and Payments Act - AWV); and</w:t>
                  </w:r>
                </w:p>
                <w:p>
                  <w:pPr>
                    <w:pStyle w:val="BodyText"/>
                  </w:pPr>
                  <w:pPr>
                    <w:pStyle w:val="ListParagraph"/>
                    <w:numPr>
                      <w:ilvl w:val="0"/>
                      <w:numId w:val="43"/>
                    </w:numPr>
                  </w:pPr>
                  <w:r>
                    <w:t xml:space="preserve">Sector-specific reviews (Sections 60-62 AWV).</w:t>
                  </w:r>
                </w:p>
                <w:p>
                  <w:pPr>
                    <w:pStyle w:val="BodyText"/>
                  </w:pPr>
                  <w:r>
                    <w:rPr>
                      <w:b/>
                    </w:rPr>
                    <w:t xml:space="preserve">(a)	Cross-sector review</w:t>
                  </w:r>
                </w:p>
                <w:p>
                  <w:pPr>
                    <w:pStyle w:val="BodyText"/>
                  </w:pPr>
                  <w:r>
                    <w:t xml:space="preserve">BMWK may investigate any direct or indirect acquisition of at least 10%, 20% or 25% of the voting rights in a German company by an investor outside the EU/EFTA, depending on the type of company. The 10% threshold applies to particularly sensitive companies, such as those operating critical infrastructure or sensitive digital technologies, but also includes certain media companies. In cases of circumvention, investors resident in the EU may also be reviewed. BMWK is entitled to investigate and potentially restrict transactions if they have a probable adverse effect (</w:t>
                  </w:r>
                  <w:r>
                    <w:rPr>
                      <w:i/>
                    </w:rPr>
                    <w:t xml:space="preserve">voraussichtliche Beeinträchtigung</w:t>
                  </w:r>
                  <w:r>
                    <w:t xml:space="preserve">) on the public order or security of Germany or another EU member state.</w:t>
                  </w:r>
                </w:p>
                <w:p>
                  <w:pPr>
                    <w:pStyle w:val="BodyText"/>
                  </w:pPr>
                  <w:r>
                    <w:t xml:space="preserve">The law provides specific guidance on the interpretation of the term "public order or security". A non-exhaustive catalogue of industry sectors illustrates whether the acquisition by foreign investors is potentially considered a threat to public order or security. These industries in particular – but by no means exclusively – relate to "critical infrastructure", i.e., an institution, facility or parts thereof that:</w:t>
                  </w:r>
                </w:p>
                <w:p>
                  <w:pPr>
                    <w:pStyle w:val="BodyText"/>
                  </w:pPr>
                  <w:pPr>
                    <w:pStyle w:val="ListParagraph"/>
                    <w:numPr>
                      <w:ilvl w:val="0"/>
                      <w:numId w:val="44"/>
                    </w:numPr>
                  </w:pPr>
                  <w:r>
                    <w:t xml:space="preserve">belong to the energy, information technology, telecommunication, transport and traffic, health, water, nutrition, finances and insurance sectors; and</w:t>
                  </w:r>
                </w:p>
                <w:p>
                  <w:pPr>
                    <w:pStyle w:val="BodyText"/>
                  </w:pPr>
                  <w:pPr>
                    <w:pStyle w:val="ListParagraph"/>
                    <w:numPr>
                      <w:ilvl w:val="0"/>
                      <w:numId w:val="44"/>
                    </w:numPr>
                  </w:pPr>
                  <w:r>
                    <w:t xml:space="preserve">are of great importance to the functioning of the community as their failure or impairment would result in serious supply shortages or considerable disruption of public safety.</w:t>
                  </w:r>
                </w:p>
                <w:p>
                  <w:pPr>
                    <w:pStyle w:val="BodyText"/>
                  </w:pPr>
                  <w:r>
                    <w:t xml:space="preserve">Companies designing or modifying software for sectors that specifically serve the operation of critical infrastructures would also be caught. The non-exhaustive catalogue also includes media companies that contribute to the formation of public opinion, companies providing cloud-computing services, companies entrusted with the task of monitoring telecommunications or producing technical equipment in relation to this, companies producing components or services for telematics infrastructure, developers or manufacturers of certain technologies involving artificial intelligence, robot developers and manufacturers, and semiconductor manufacturers.</w:t>
                  </w:r>
                </w:p>
                <w:p>
                  <w:pPr>
                    <w:pStyle w:val="BodyText"/>
                  </w:pPr>
                  <w:r>
                    <w:t xml:space="preserve">For all acquisitions of German companies that belong to the sectors specifically referenced in the catalogue by non-EU/EFTA purchasers, BMWK has to be notified about the acquisition.</w:t>
                  </w:r>
                </w:p>
                <w:p>
                  <w:pPr>
                    <w:pStyle w:val="BodyText"/>
                  </w:pPr>
                  <w:r>
                    <w:t xml:space="preserve">Non-listed sectors do not fall under a mandatory notification requirement but can still be subject of an FIR.</w:t>
                  </w:r>
                </w:p>
                <w:p>
                  <w:pPr>
                    <w:pStyle w:val="BodyText"/>
                  </w:pPr>
                  <w:r>
                    <w:t xml:space="preserve">Following the notification of the conclusion of the contract on the investment, typically the SPA, BMWK has a two-month deadline to initiate investigations. Transactions may be notified prior to the conclusion of the SPA on the basis of a term sheet for example – the two month period, however, only starts to run from the conclusion of the contract underlying the transaction. The start of the period furthermore hinges on the gaining of positive knowledge of the conclusion of such transaction, or, in cases where an offer within the meaning of the Takeover Act is made, of the publication of the decision to submit the offer by BMWK.</w:t>
                  </w:r>
                </w:p>
                <w:p>
                  <w:pPr>
                    <w:pStyle w:val="BodyText"/>
                  </w:pPr>
                  <w:r>
                    <w:t xml:space="preserve">Should BMWK initiate a formal review process within these two months, it has four months to review the transaction and decide on potential restrictions. However, this four-month period can be extended on multiple grounds and also suspended - which is frequent in practice in the case of the conduct of contractual negotiations - and in individual cases can also be recommenced. There is a limitation period of five years to investigate if the Ministry claims that it was not aware of the conclusion of the contract unless the acquirer can prove otherwise. In the period during which the acquisition may be reviewed, the legal validity of the contract is subject to the condition subsequent of a prohibition by BMWK, i.e., it is legally effective but may become invalid if BMWK prohibits the transaction. In contrast, closing transactions (Verfügungsgeschäfte) are provisionally invalid and become valid only once the transaction is cleared pursuant or the respective review periods have expired.</w:t>
                  </w:r>
                </w:p>
                <w:p>
                  <w:pPr>
                    <w:pStyle w:val="BodyText"/>
                  </w:pPr>
                  <w:r>
                    <w:t xml:space="preserve">In order to obtain legal certainty the investor can apply to BMWK for a certificate of non-objection. This certificate confirms that the acquisition does not impact on the public order or security. At the same time, this will reduce the deadline for initiating a review process from five years to two months because BMWK has through the application become aware of the acquisition. The clearance certificate is considered as granted if BMWK fails to open an investigation during that period.</w:t>
                  </w:r>
                </w:p>
                <w:p>
                  <w:pPr>
                    <w:pStyle w:val="BodyText"/>
                  </w:pPr>
                  <w:r>
                    <w:t xml:space="preserve">The German government has only prohibited a few transactions to date. In 2018 for example, it prohibited the acquisition of Leifeld Metal Spinning AG by the Chinese company Yantai Taitai Manoir Nuclear Equipment Co., Ltd. In 2020, BMWK prohibited the acquisition of majority shares and almost all voting rights in the German IMST GmbH by the Chinese defense company Addsino Co. Ltd. China. The German government also prohibited the acquisition of Elmos Semiconductor SE, a semi-conductor chips production facility, by a Chinese investor in 2022.</w:t>
                  </w:r>
                </w:p>
                <w:p>
                  <w:pPr>
                    <w:pStyle w:val="BodyText"/>
                  </w:pPr>
                  <w:r>
                    <w:t xml:space="preserve">Although not formally prohibited, in 2016 the acquisition of Aixtron SE by the Chinese Fujian Grand Chip Investment Fund LP failed due to a prohibition by the USA after a clearance certificate had already been granted in Germany. In 2018, the German government prevented the acquisition of 20% of the shares in 50 Hertz Transmission GmbH by the Chinese state-owned company State Grid Corporation of China by persuading Belgian shareholder Elia System Operator S.A. to exercise its right of first refusal in order to in a second step acquire the shares from the latter at the same price. In one case (the takeover of Siltronic by the Taiwanese company Global Wafers), the available period until the "drop dead date" in the takeover bid document expired without the transaction having been approved, Allegedly, this was because other approvals had been obtained only very shortly before that date.</w:t>
                  </w:r>
                </w:p>
                <w:p>
                  <w:pPr>
                    <w:pStyle w:val="BodyText"/>
                  </w:pPr>
                  <w:r>
                    <w:rPr>
                      <w:b/>
                    </w:rPr>
                    <w:t xml:space="preserve">(c)	Sector-specific review</w:t>
                  </w:r>
                </w:p>
                <w:p>
                  <w:pPr>
                    <w:pStyle w:val="BodyText"/>
                  </w:pPr>
                  <w:r>
                    <w:t xml:space="preserve">The sector-specific review applies to investments in German target companies that are active in the following sectors:</w:t>
                  </w:r>
                </w:p>
                <w:p>
                  <w:pPr>
                    <w:pStyle w:val="BodyText"/>
                  </w:pPr>
                  <w:pPr>
                    <w:pStyle w:val="ListParagraph"/>
                    <w:numPr>
                      <w:ilvl w:val="0"/>
                      <w:numId w:val="45"/>
                    </w:numPr>
                  </w:pPr>
                  <w:r>
                    <w:t xml:space="preserve">Militarily export-controlled items, e.g. arms;</w:t>
                  </w:r>
                </w:p>
                <w:p>
                  <w:pPr>
                    <w:pStyle w:val="BodyText"/>
                  </w:pPr>
                  <w:pPr>
                    <w:pStyle w:val="ListParagraph"/>
                    <w:numPr>
                      <w:ilvl w:val="0"/>
                      <w:numId w:val="45"/>
                    </w:numPr>
                  </w:pPr>
                  <w:r>
                    <w:t xml:space="preserve">defense technology;</w:t>
                  </w:r>
                </w:p>
                <w:p>
                  <w:pPr>
                    <w:pStyle w:val="BodyText"/>
                  </w:pPr>
                  <w:pPr>
                    <w:pStyle w:val="ListParagraph"/>
                    <w:numPr>
                      <w:ilvl w:val="0"/>
                      <w:numId w:val="45"/>
                    </w:numPr>
                  </w:pPr>
                  <w:r>
                    <w:t xml:space="preserve">certain products with IT security functions; and</w:t>
                  </w:r>
                </w:p>
                <w:p>
                  <w:pPr>
                    <w:pStyle w:val="BodyText"/>
                  </w:pPr>
                  <w:pPr>
                    <w:pStyle w:val="ListParagraph"/>
                    <w:numPr>
                      <w:ilvl w:val="0"/>
                      <w:numId w:val="45"/>
                    </w:numPr>
                  </w:pPr>
                  <w:r>
                    <w:t xml:space="preserve">defense-related facilities.</w:t>
                  </w:r>
                </w:p>
                <w:p>
                  <w:pPr>
                    <w:pStyle w:val="BodyText"/>
                  </w:pPr>
                  <w:r>
                    <w:t xml:space="preserve">BMWK may investigate any acquisition of at least 10% of the voting rights or an equivalent degree of control in such a company by any investor outside of Germany. In cases of circumvention, domestic acquirers may also be reviewed.</w:t>
                  </w:r>
                </w:p>
                <w:p>
                  <w:pPr>
                    <w:pStyle w:val="BodyText"/>
                  </w:pPr>
                  <w:r>
                    <w:t xml:space="preserve">Within the sector-specific review, BMWK reviews whether fundamental security interests of Germany are endangered. Such endangerment has to:</w:t>
                  </w:r>
                </w:p>
                <w:p>
                  <w:pPr>
                    <w:pStyle w:val="BodyText"/>
                  </w:pPr>
                  <w:pPr>
                    <w:pStyle w:val="ListParagraph"/>
                    <w:numPr>
                      <w:ilvl w:val="0"/>
                      <w:numId w:val="46"/>
                    </w:numPr>
                  </w:pPr>
                  <w:r>
                    <w:t xml:space="preserve">be actual;</w:t>
                  </w:r>
                </w:p>
                <w:p>
                  <w:pPr>
                    <w:pStyle w:val="BodyText"/>
                  </w:pPr>
                  <w:pPr>
                    <w:pStyle w:val="ListParagraph"/>
                    <w:numPr>
                      <w:ilvl w:val="0"/>
                      <w:numId w:val="46"/>
                    </w:numPr>
                  </w:pPr>
                  <w:r>
                    <w:t xml:space="preserve">be sufficiently important; and</w:t>
                  </w:r>
                </w:p>
                <w:p>
                  <w:pPr>
                    <w:pStyle w:val="BodyText"/>
                  </w:pPr>
                  <w:pPr>
                    <w:pStyle w:val="ListParagraph"/>
                    <w:numPr>
                      <w:ilvl w:val="0"/>
                      <w:numId w:val="46"/>
                    </w:numPr>
                  </w:pPr>
                  <w:r>
                    <w:t xml:space="preserve">affect fundamental public interests (ordre public).</w:t>
                  </w:r>
                </w:p>
                <w:p>
                  <w:pPr>
                    <w:pStyle w:val="BodyText"/>
                  </w:pPr>
                  <w:r>
                    <w:t xml:space="preserve">Even in the case of key industries it may generally not be presumed that a fundamental interest of the community — as laid down in the abovementioned ordre public clause — is generally and always affected. Each acquisition must be individually examined to look at its effect on supply to the population to determine if a fundamental public interest is affected.</w:t>
                  </w:r>
                </w:p>
                <w:p>
                  <w:pPr>
                    <w:pStyle w:val="BodyText"/>
                  </w:pPr>
                  <w:r>
                    <w:t xml:space="preserve">Acquisitions subject to the sector-specific review must be notified in writing to BMWK by the purchaser. BMWK has a two-month deadline following the submission of the complete notification to intervene.</w:t>
                  </w:r>
                </w:p>
                <w:p>
                  <w:pPr>
                    <w:pStyle w:val="BodyText"/>
                  </w:pPr>
                  <w:r>
                    <w:t xml:space="preserve">In this context, BMWK is entitled to:</w:t>
                  </w:r>
                </w:p>
                <w:p>
                  <w:pPr>
                    <w:pStyle w:val="BodyText"/>
                  </w:pPr>
                  <w:pPr>
                    <w:pStyle w:val="ListParagraph"/>
                    <w:numPr>
                      <w:ilvl w:val="0"/>
                      <w:numId w:val="47"/>
                    </w:numPr>
                  </w:pPr>
                  <w:r>
                    <w:t xml:space="preserve">prohibit the transaction;</w:t>
                  </w:r>
                </w:p>
                <w:p>
                  <w:pPr>
                    <w:pStyle w:val="BodyText"/>
                  </w:pPr>
                  <w:pPr>
                    <w:pStyle w:val="ListParagraph"/>
                    <w:numPr>
                      <w:ilvl w:val="0"/>
                      <w:numId w:val="47"/>
                    </w:numPr>
                  </w:pPr>
                  <w:r>
                    <w:t xml:space="preserve">issue instructions or orders that are conditional for the approval of the transaction; or</w:t>
                  </w:r>
                </w:p>
                <w:p>
                  <w:pPr>
                    <w:pStyle w:val="BodyText"/>
                  </w:pPr>
                  <w:pPr>
                    <w:pStyle w:val="ListParagraph"/>
                    <w:numPr>
                      <w:ilvl w:val="0"/>
                      <w:numId w:val="47"/>
                    </w:numPr>
                  </w:pPr>
                  <w:r>
                    <w:t xml:space="preserve">conclude a contract under public law to safeguard fundamental public interests.</w:t>
                  </w:r>
                </w:p>
                <w:p>
                  <w:pPr>
                    <w:pStyle w:val="BodyText"/>
                  </w:pPr>
                  <w:r>
                    <w:t xml:space="preserve">There is a limitation period of five years if BMWK claims that it was not aware of the conclusion of the contract unless the acquirer can prove otherwise.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Before a Public Takeover Bid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Before a Public Takeover Bid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3.1 Shareholding rights and powers</w:t>
                  </w:r>
                </w:p>
                <w:p>
                  <w:pPr>
                    <w:pStyle w:val="BodyText"/>
                  </w:pPr>
                  <w:r>
                    <w:t xml:space="preserve">The table below provides an overview of the different rights and powers that are attached to different levels of shareholding within a German listed corporation:</w:t>
                  </w:r>
                </w:p>
                <w:tbl>
                  <w:pPr>
                    <w:pStyle w:val="BodyText"/>
                  </w:pPr>
                  <w:tblPr>
                    <w:tblStyle w:val="TableGrid"/>
                    <w:tblW w:w="14428" w:type="dxa"/>
                    <w:tblCellSpacing w:w="0" w:type="dxa"/>
                    <w:tblCellMar>
                      <w:top w:w="0" w:type="dxa"/>
                      <w:left w:w="0" w:type="dxa"/>
                      <w:bottom w:w="0" w:type="dxa"/>
                      <w:right w:w="0" w:type="dxa"/>
                    </w:tblCellMar>
                  </w:tblPr>
                  <w:tblGrid>
                    <w:gridCol/>
                    <w:gridCol/>
                  </w:tblGrid>
                  <w:tr>
                    <w:tc>
                      <w:tcPr>
                        <w:tcW w:w="50300" w:type="dxa"/>
                        <w:tcMar>
                          <w:right w:w="108" w:type="dxa"/>
                          <w:left w:w="108" w:type="dxa"/>
                        </w:tcMar>
                        <w:vAlign w:val="center"/>
                      </w:tcPr>
                      <w:p>
                        <w:pPr>
                          <w:spacing w:before="80"/>
                        </w:pPr>
                        <w:r>
                          <w:rPr>
                            <w:color w:val="FFFFFF"/>
                          </w:rPr>
                          <w:t xml:space="preserve">Shareholding</w:t>
                        </w:r>
                      </w:p>
                    </w:tc>
                    <w:tc>
                      <w:tcPr>
                        <w:vAlign w:val="top"/>
                        <w:tcMar>
                          <w:right w:w="108" w:type="dxa"/>
                          <w:left w:w="108" w:type="dxa"/>
                        </w:tcMar>
                        <w:vAlign w:val="center"/>
                      </w:tcPr>
                      <w:p>
                        <w:pPr>
                          <w:jc w:val="left"/>
                          <w:spacing w:before="80"/>
                        </w:pPr>
                        <w:r>
                          <w:rPr>
                            <w:color w:val="FFFFFF"/>
                          </w:rPr>
                          <w:t xml:space="preserve">Rights</w:t>
                        </w:r>
                      </w:p>
                    </w:tc>
                  </w:tr>
                  <w:tr>
                    <w:tc>
                      <w:tcPr>
                        <w:vAlign w:val="top"/>
                        <w:tcMar>
                          <w:right w:w="108" w:type="dxa"/>
                          <w:left w:w="108" w:type="dxa"/>
                        </w:tcMar>
                        <w:vAlign w:val="center"/>
                      </w:tcPr>
                      <w:p>
                        <w:pPr>
                          <w:jc w:val="left"/>
                          <w:spacing w:before="80"/>
                        </w:pPr>
                        <w:r>
                          <w:t xml:space="preserve">One share</w:t>
                        </w:r>
                      </w:p>
                    </w:tc>
                    <w:tc>
                      <w:tcPr>
                        <w:vAlign w:val="top"/>
                        <w:tcMar>
                          <w:right w:w="108" w:type="dxa"/>
                          <w:left w:w="108" w:type="dxa"/>
                        </w:tcMar>
                        <w:vAlign w:val="center"/>
                      </w:tcPr>
                      <w:p>
                        <w:pPr>
                          <w:jc w:val="left"/>
                          <w:numPr>
                            <w:ilvl w:val="0"/>
                            <w:numId w:val="32"/>
                          </w:numPr>
                        </w:pPr>
                        <w:r>
                          <w:t xml:space="preserve">The right to attend and vote at general shareholders' meetings.</w:t>
                        </w:r>
                      </w:p>
                      <w:p>
                        <w:pPr>
                          <w:pStyle w:val="ListParagraph"/>
                          <w:numPr>
                            <w:ilvl w:val="0"/>
                            <w:numId w:val="32"/>
                          </w:numPr>
                        </w:pPr>
                        <w:r>
                          <w:t xml:space="preserve">The right to submit questions to the management board at general shareholders' meetings.</w:t>
                        </w:r>
                      </w:p>
                      <w:p>
                        <w:pPr>
                          <w:pStyle w:val="ListParagraph"/>
                          <w:numPr>
                            <w:ilvl w:val="0"/>
                            <w:numId w:val="32"/>
                          </w:numPr>
                        </w:pPr>
                        <w:r>
                          <w:t xml:space="preserve">The right to request the nullity of decisions of general shareholders' meetings for irregularities as to form, process or other reasons, subject to the shareholder having attended the meeting and having recorded an objection against the resolution, except where the deficiency relates to the calling of the meeting.</w:t>
                        </w:r>
                      </w:p>
                      <w:p>
                        <w:pPr>
                          <w:pStyle w:val="ListParagraph"/>
                          <w:numPr>
                            <w:ilvl w:val="0"/>
                            <w:numId w:val="32"/>
                          </w:numPr>
                        </w:pPr>
                        <w:r>
                          <w:t xml:space="preserve">The right to file/publish alternative suggestions with respect to a certain item on the agenda of the shareholders' meeting or with respect to the election of new supervisory board members.</w:t>
                        </w:r>
                      </w:p>
                    </w:tc>
                  </w:tr>
                  <w:tr>
                    <w:tc>
                      <w:tcPr>
                        <w:vAlign w:val="top"/>
                        <w:tcMar>
                          <w:right w:w="108" w:type="dxa"/>
                          <w:left w:w="108" w:type="dxa"/>
                        </w:tcMar>
                        <w:vAlign w:val="center"/>
                      </w:tcPr>
                      <w:p>
                        <w:pPr>
                          <w:jc w:val="left"/>
                          <w:spacing w:before="80"/>
                        </w:pPr>
                        <w:r>
                          <w:t xml:space="preserve">The lower of 1% or shares representing EUR 100,000 of the share capital</w:t>
                        </w:r>
                      </w:p>
                    </w:tc>
                    <w:tc>
                      <w:tcPr>
                        <w:vAlign w:val="top"/>
                        <w:tcMar>
                          <w:right w:w="108" w:type="dxa"/>
                          <w:left w:w="108" w:type="dxa"/>
                        </w:tcMar>
                        <w:vAlign w:val="center"/>
                      </w:tcPr>
                      <w:p>
                        <w:pPr>
                          <w:jc w:val="left"/>
                          <w:numPr>
                            <w:ilvl w:val="0"/>
                            <w:numId w:val="33"/>
                          </w:numPr>
                        </w:pPr>
                        <w:r>
                          <w:t xml:space="preserve">The right to apply for a judicial decision to be authorized to assert claims for damages against members of the company's boards if no action has been taken prior to the expiration of a deadline and in case of suspicion of severe wrongdoing or breach of the law.</w:t>
                        </w:r>
                      </w:p>
                      <w:p>
                        <w:pPr>
                          <w:pStyle w:val="ListParagraph"/>
                          <w:numPr>
                            <w:ilvl w:val="0"/>
                            <w:numId w:val="33"/>
                          </w:numPr>
                        </w:pPr>
                        <w:r>
                          <w:t xml:space="preserve">The right to file an application with the court for a special audit of any matters relating to the formation of the stock corporation or the management of the stock corporation's business within the last 5 years if the shareholders' meeting has refused to appoint a special auditor.</w:t>
                        </w:r>
                      </w:p>
                      <w:p>
                        <w:pPr>
                          <w:pStyle w:val="ListParagraph"/>
                          <w:numPr>
                            <w:ilvl w:val="0"/>
                            <w:numId w:val="33"/>
                          </w:numPr>
                        </w:pPr>
                        <w:r>
                          <w:t xml:space="preserve">The right to apply for a special audit with the local court with regard to the suspicion of any material invalidity of items on the balance sheet. </w:t>
                        </w:r>
                      </w:p>
                    </w:tc>
                  </w:tr>
                  <w:tr>
                    <w:tc>
                      <w:tcPr>
                        <w:vAlign w:val="top"/>
                        <w:tcMar>
                          <w:right w:w="108" w:type="dxa"/>
                          <w:left w:w="108" w:type="dxa"/>
                        </w:tcMar>
                        <w:vAlign w:val="center"/>
                      </w:tcPr>
                      <w:p>
                        <w:pPr>
                          <w:jc w:val="left"/>
                          <w:spacing w:before="80"/>
                        </w:pPr>
                        <w:r>
                          <w:t xml:space="preserve">The lower of 5% or, in some cases, shares representing EUR 500,000 of the share capital</w:t>
                        </w:r>
                      </w:p>
                    </w:tc>
                    <w:tc>
                      <w:tcPr>
                        <w:vAlign w:val="top"/>
                        <w:tcMar>
                          <w:right w:w="108" w:type="dxa"/>
                          <w:left w:w="108" w:type="dxa"/>
                        </w:tcMar>
                        <w:vAlign w:val="center"/>
                      </w:tcPr>
                      <w:p>
                        <w:pPr>
                          <w:jc w:val="left"/>
                          <w:numPr>
                            <w:ilvl w:val="0"/>
                            <w:numId w:val="34"/>
                          </w:numPr>
                        </w:pPr>
                        <w:r>
                          <w:t xml:space="preserve">The right to demand the management board to convene a general shareholders' meeting.</w:t>
                        </w:r>
                      </w:p>
                      <w:p>
                        <w:pPr>
                          <w:pStyle w:val="ListParagraph"/>
                          <w:numPr>
                            <w:ilvl w:val="0"/>
                            <w:numId w:val="34"/>
                          </w:numPr>
                        </w:pPr>
                        <w:r>
                          <w:t xml:space="preserve">The right to put additional items on the agenda of a general shareholders' meeting.</w:t>
                        </w:r>
                      </w:p>
                      <w:p>
                        <w:pPr>
                          <w:pStyle w:val="ListParagraph"/>
                          <w:numPr>
                            <w:ilvl w:val="0"/>
                            <w:numId w:val="34"/>
                          </w:numPr>
                        </w:pPr>
                        <w:r>
                          <w:t xml:space="preserve">The right to file an action to set aside the resolution on the appropriation of the net retained profits.</w:t>
                        </w:r>
                      </w:p>
                      <w:p>
                        <w:pPr>
                          <w:pStyle w:val="ListParagraph"/>
                          <w:numPr>
                            <w:ilvl w:val="0"/>
                            <w:numId w:val="34"/>
                          </w:numPr>
                        </w:pPr>
                        <w:r>
                          <w:t xml:space="preserve">The right to demand that the court shall appoint or remove a liquidator, if important reasons exist therefore. </w:t>
                        </w:r>
                      </w:p>
                    </w:tc>
                  </w:tr>
                  <w:tr>
                    <w:tc>
                      <w:tcPr>
                        <w:vAlign w:val="top"/>
                        <w:tcMar>
                          <w:right w:w="108" w:type="dxa"/>
                          <w:left w:w="108" w:type="dxa"/>
                        </w:tcMar>
                        <w:vAlign w:val="center"/>
                      </w:tcPr>
                      <w:p>
                        <w:pPr>
                          <w:jc w:val="left"/>
                          <w:spacing w:before="80"/>
                        </w:pPr>
                        <w:r>
                          <w:t xml:space="preserve">The lower of 10% or shares representing EUR 1,000,000 of the share capital</w:t>
                        </w:r>
                      </w:p>
                    </w:tc>
                    <w:tc>
                      <w:tcPr>
                        <w:vAlign w:val="top"/>
                        <w:tcMar>
                          <w:right w:w="108" w:type="dxa"/>
                          <w:left w:w="108" w:type="dxa"/>
                        </w:tcMar>
                        <w:vAlign w:val="center"/>
                      </w:tcPr>
                      <w:p>
                        <w:pPr>
                          <w:jc w:val="left"/>
                          <w:numPr>
                            <w:ilvl w:val="0"/>
                            <w:numId w:val="35"/>
                          </w:numPr>
                        </w:pPr>
                        <w:r>
                          <w:t xml:space="preserve">The right to demand a separate vote with regard to the discharge of management.</w:t>
                        </w:r>
                      </w:p>
                      <w:p>
                        <w:pPr>
                          <w:pStyle w:val="ListParagraph"/>
                          <w:numPr>
                            <w:ilvl w:val="0"/>
                            <w:numId w:val="35"/>
                          </w:numPr>
                        </w:pPr>
                        <w:r>
                          <w:t xml:space="preserve">The right to demand that the court appoint special representatives to assert a claim for damages (particularly against members of the management or supervisory board).</w:t>
                        </w:r>
                      </w:p>
                      <w:p>
                        <w:pPr>
                          <w:pStyle w:val="ListParagraph"/>
                          <w:numPr>
                            <w:ilvl w:val="0"/>
                            <w:numId w:val="35"/>
                          </w:numPr>
                        </w:pPr>
                        <w:r>
                          <w:t xml:space="preserve">The right to demand that the court removes a member of the supervisory board for material cause.</w:t>
                        </w:r>
                      </w:p>
                      <w:p>
                        <w:pPr>
                          <w:pStyle w:val="ListParagraph"/>
                          <w:numPr>
                            <w:ilvl w:val="0"/>
                            <w:numId w:val="35"/>
                          </w:numPr>
                        </w:pPr>
                        <w:r>
                          <w:t xml:space="preserve">The right to veto waiver or settlement of claims against the founders or the board members or the controlling shareholder. </w:t>
                        </w:r>
                      </w:p>
                    </w:tc>
                  </w:tr>
                  <w:tr>
                    <w:tc>
                      <w:tcPr>
                        <w:vAlign w:val="top"/>
                        <w:tcMar>
                          <w:right w:w="108" w:type="dxa"/>
                          <w:left w:w="108" w:type="dxa"/>
                        </w:tcMar>
                        <w:vAlign w:val="center"/>
                      </w:tcPr>
                      <w:p>
                        <w:pPr>
                          <w:jc w:val="left"/>
                          <w:spacing w:before="80"/>
                        </w:pPr>
                        <w:r>
                          <w:t xml:space="preserve">More than 25% (at a general shareholders' meeting)</w:t>
                        </w:r>
                      </w:p>
                    </w:tc>
                    <w:tc>
                      <w:tcPr>
                        <w:vAlign w:val="top"/>
                        <w:tcMar>
                          <w:right w:w="108" w:type="dxa"/>
                          <w:left w:w="108" w:type="dxa"/>
                        </w:tcMar>
                        <w:vAlign w:val="center"/>
                      </w:tcPr>
                      <w:p>
                        <w:pPr>
                          <w:jc w:val="left"/>
                        </w:pPr>
                        <w:r>
                          <w:t xml:space="preserve">The ability at a general shareholders' meeting to block:</w:t>
                        </w:r>
                      </w:p>
                      <w:p>
                        <w:pPr>
                          <w:pStyle w:val="ListParagraph"/>
                          <w:numPr>
                            <w:ilvl w:val="0"/>
                            <w:numId w:val="36"/>
                          </w:numPr>
                        </w:pPr>
                        <w:r>
                          <w:t xml:space="preserve">changes to the corporate purpose of the company;</w:t>
                        </w:r>
                      </w:p>
                      <w:p>
                        <w:pPr>
                          <w:pStyle w:val="ListParagraph"/>
                          <w:numPr>
                            <w:ilvl w:val="0"/>
                            <w:numId w:val="36"/>
                          </w:numPr>
                        </w:pPr>
                        <w:r>
                          <w:t xml:space="preserve">any other changes to the articles of association, mergers, de-mergers, capital increases, capital reductions and dissolution of the company;</w:t>
                        </w:r>
                      </w:p>
                      <w:p>
                        <w:pPr>
                          <w:pStyle w:val="ListParagraph"/>
                          <w:numPr>
                            <w:ilvl w:val="0"/>
                            <w:numId w:val="36"/>
                          </w:numPr>
                        </w:pPr>
                        <w:r>
                          <w:t xml:space="preserve">the authorization of the management board to increase the company's share capital without further shareholder approval (the so-called "</w:t>
                        </w:r>
                        <w:r>
                          <w:rPr>
                            <w:b/>
                          </w:rPr>
                          <w:t xml:space="preserve">authorized capital</w:t>
                        </w:r>
                        <w:r>
                          <w:t xml:space="preserve">");</w:t>
                        </w:r>
                      </w:p>
                      <w:p>
                        <w:pPr>
                          <w:pStyle w:val="ListParagraph"/>
                          <w:numPr>
                            <w:ilvl w:val="0"/>
                            <w:numId w:val="36"/>
                          </w:numPr>
                        </w:pPr>
                        <w:r>
                          <w:t xml:space="preserve">the authorization of the management board to enter into a domination and/or profit and loss pooling agreement (see 7.4 below);</w:t>
                        </w:r>
                      </w:p>
                      <w:p>
                        <w:pPr>
                          <w:pStyle w:val="ListParagraph"/>
                          <w:numPr>
                            <w:ilvl w:val="0"/>
                            <w:numId w:val="36"/>
                          </w:numPr>
                        </w:pPr>
                        <w:r>
                          <w:t xml:space="preserve">the disapplication of the subscription right of existing shareholders in case of share issues; and</w:t>
                        </w:r>
                      </w:p>
                      <w:p>
                        <w:pPr>
                          <w:pStyle w:val="ListParagraph"/>
                          <w:numPr>
                            <w:ilvl w:val="0"/>
                            <w:numId w:val="36"/>
                          </w:numPr>
                        </w:pPr>
                        <w:r>
                          <w:t xml:space="preserve">divestitures or outsourcing of substantial assets of the company if certain further criteria are met. </w:t>
                        </w:r>
                      </w:p>
                    </w:tc>
                  </w:tr>
                  <w:tr>
                    <w:tc>
                      <w:tcPr>
                        <w:vAlign w:val="top"/>
                        <w:tcMar>
                          <w:right w:w="108" w:type="dxa"/>
                          <w:left w:w="108" w:type="dxa"/>
                        </w:tcMar>
                        <w:vAlign w:val="center"/>
                      </w:tcPr>
                      <w:p>
                        <w:pPr>
                          <w:jc w:val="left"/>
                          <w:spacing w:before="80"/>
                        </w:pPr>
                        <w:r>
                          <w:t xml:space="preserve">More than 50% (at a general shareholders' meeting)</w:t>
                        </w:r>
                      </w:p>
                    </w:tc>
                    <w:tc>
                      <w:tcPr>
                        <w:vAlign w:val="top"/>
                        <w:tcMar>
                          <w:right w:w="108" w:type="dxa"/>
                          <w:left w:w="108" w:type="dxa"/>
                        </w:tcMar>
                        <w:vAlign w:val="center"/>
                      </w:tcPr>
                      <w:p>
                        <w:pPr>
                          <w:jc w:val="left"/>
                          <w:spacing w:before="80"/>
                        </w:pPr>
                        <w:r>
                          <w:t xml:space="preserve">The ability at a general shareholders' meeting to:</w:t>
                        </w:r>
                      </w:p>
                      <w:p>
                        <w:pPr>
                          <w:pStyle w:val="ListParagraph"/>
                          <w:numPr>
                            <w:ilvl w:val="0"/>
                            <w:numId w:val="37"/>
                          </w:numPr>
                        </w:pPr>
                        <w:r>
                          <w:t xml:space="preserve">appoint and dismiss members of the supervisory board;</w:t>
                        </w:r>
                      </w:p>
                      <w:p>
                        <w:pPr>
                          <w:pStyle w:val="ListParagraph"/>
                          <w:numPr>
                            <w:ilvl w:val="0"/>
                            <w:numId w:val="37"/>
                          </w:numPr>
                        </w:pPr>
                        <w:r>
                          <w:t xml:space="preserve">appoint and dismiss statutory auditors to approve the annual financial statements;</w:t>
                        </w:r>
                      </w:p>
                      <w:p>
                        <w:pPr>
                          <w:pStyle w:val="ListParagraph"/>
                          <w:numPr>
                            <w:ilvl w:val="0"/>
                            <w:numId w:val="37"/>
                          </w:numPr>
                        </w:pPr>
                        <w:r>
                          <w:t xml:space="preserve">resolve on the approval of the remuneration scheme submitted by the supervisory board;</w:t>
                        </w:r>
                      </w:p>
                      <w:p>
                        <w:pPr>
                          <w:pStyle w:val="ListParagraph"/>
                          <w:numPr>
                            <w:ilvl w:val="0"/>
                            <w:numId w:val="37"/>
                          </w:numPr>
                        </w:pPr>
                        <w:r>
                          <w:t xml:space="preserve">grant discharge from liability to the members of both the management and supervisory board; and</w:t>
                        </w:r>
                      </w:p>
                      <w:p>
                        <w:pPr>
                          <w:pStyle w:val="ListParagraph"/>
                          <w:numPr>
                            <w:ilvl w:val="0"/>
                            <w:numId w:val="37"/>
                          </w:numPr>
                        </w:pPr>
                        <w:r>
                          <w:t xml:space="preserve">take decisions for which no special majority is required.</w:t>
                        </w:r>
                      </w:p>
                    </w:tc>
                  </w:tr>
                  <w:tr>
                    <w:tc>
                      <w:tcPr>
                        <w:vAlign w:val="top"/>
                        <w:tcMar>
                          <w:right w:w="108" w:type="dxa"/>
                          <w:left w:w="108" w:type="dxa"/>
                        </w:tcMar>
                        <w:vAlign w:val="center"/>
                      </w:tcPr>
                      <w:p>
                        <w:pPr>
                          <w:jc w:val="left"/>
                          <w:spacing w:before="80"/>
                        </w:pPr>
                        <w:r>
                          <w:t xml:space="preserve">More than 75% (at a general shareholders' meeting)</w:t>
                        </w:r>
                      </w:p>
                    </w:tc>
                    <w:tc>
                      <w:tcPr>
                        <w:vAlign w:val="top"/>
                        <w:tcMar>
                          <w:right w:w="108" w:type="dxa"/>
                          <w:left w:w="108" w:type="dxa"/>
                        </w:tcMar>
                        <w:vAlign w:val="center"/>
                      </w:tcPr>
                      <w:p>
                        <w:pPr>
                          <w:jc w:val="left"/>
                          <w:spacing w:before="80"/>
                        </w:pPr>
                        <w:r>
                          <w:t xml:space="preserve">The possibility to approve the measures set out under 'More than 25% (</w:t>
                        </w:r>
                        <w:r>
                          <w:rPr>
                            <w:i/>
                          </w:rPr>
                          <w:t xml:space="preserve">at a general shareholders' meeting</w:t>
                        </w:r>
                        <w:r>
                          <w:t xml:space="preserve">)' above.</w:t>
                        </w:r>
                      </w:p>
                    </w:tc>
                  </w:tr>
                  <w:tr>
                    <w:tc>
                      <w:tcPr>
                        <w:vAlign w:val="top"/>
                        <w:tcMar>
                          <w:right w:w="108" w:type="dxa"/>
                          <w:left w:w="108" w:type="dxa"/>
                        </w:tcMar>
                        <w:vAlign w:val="center"/>
                      </w:tcPr>
                      <w:p>
                        <w:pPr>
                          <w:jc w:val="left"/>
                          <w:spacing w:before="80"/>
                        </w:pPr>
                        <w:r>
                          <w:t xml:space="preserve">90%</w:t>
                        </w:r>
                      </w:p>
                    </w:tc>
                    <w:tc>
                      <w:tcPr>
                        <w:vAlign w:val="top"/>
                        <w:tcMar>
                          <w:right w:w="108" w:type="dxa"/>
                          <w:left w:w="108" w:type="dxa"/>
                        </w:tcMar>
                        <w:vAlign w:val="center"/>
                      </w:tcPr>
                      <w:p>
                        <w:pPr>
                          <w:jc w:val="left"/>
                        </w:pPr>
                        <w:r>
                          <w:t xml:space="preserve">The possibility to force all other shareholders to transfer their shares through a merger squeeze-out (provided that the 90% shareholder is also a German stock corporation, see 7.1 below).</w:t>
                        </w:r>
                      </w:p>
                    </w:tc>
                  </w:tr>
                  <w:tr>
                    <w:tc>
                      <w:tcPr>
                        <w:vAlign w:val="top"/>
                        <w:tcMar>
                          <w:right w:w="108" w:type="dxa"/>
                          <w:left w:w="108" w:type="dxa"/>
                        </w:tcMar>
                        <w:vAlign w:val="center"/>
                      </w:tcPr>
                      <w:p>
                        <w:pPr>
                          <w:jc w:val="left"/>
                          <w:spacing w:before="80"/>
                        </w:pPr>
                        <w:r>
                          <w:t xml:space="preserve">95%</w:t>
                        </w:r>
                      </w:p>
                    </w:tc>
                    <w:tc>
                      <w:tcPr>
                        <w:vAlign w:val="top"/>
                        <w:tcMar>
                          <w:right w:w="108" w:type="dxa"/>
                          <w:left w:w="108" w:type="dxa"/>
                        </w:tcMar>
                        <w:vAlign w:val="center"/>
                      </w:tcPr>
                      <w:p>
                        <w:pPr>
                          <w:jc w:val="left"/>
                          <w:spacing w:before="80"/>
                        </w:pPr>
                        <w:r>
                          <w:t xml:space="preserve">The possibility to force all other shareholders to transfer their shares for cash compensation, a "</w:t>
                        </w:r>
                        <w:r>
                          <w:rPr>
                            <w:b/>
                          </w:rPr>
                          <w:t xml:space="preserve">squeeze-out</w:t>
                        </w:r>
                        <w:r>
                          <w:t xml:space="preserve">" (see 7.1 below).</w:t>
                        </w:r>
                      </w:p>
                    </w:tc>
                  </w:tr>
                </w:tbl>
                <w:p>
                  <w:pPr>
                    <w:pStyle w:val="BodyText"/>
                  </w:pPr>
                  <w:r>
                    <w:rPr>
                      <w:b/>
                    </w:rPr>
                    <w:t xml:space="preserve">3.2 Restrictions and careful planning</w:t>
                  </w:r>
                </w:p>
                <w:p>
                  <w:pPr>
                    <w:pStyle w:val="BodyText"/>
                  </w:pPr>
                  <w:r>
                    <w:t xml:space="preserve">German law contains a number of rules that already apply before a public takeover bid is announced. These rules impose restrictions and hurdles in relation to prior stake building by a Bidder, announcements of a potential takeover bid by a Bidder or a target company, and prior due diligence by a Bidder. The main restrictions and hurdles have been summarized below. Careful planning is therefore necessary if a Bidder or target company intends to start up a process that is to lead towards a public takeover bid.</w:t>
                  </w:r>
                </w:p>
                <w:p>
                  <w:pPr>
                    <w:pStyle w:val="BodyText"/>
                  </w:pPr>
                  <w:r>
                    <w:rPr>
                      <w:b/>
                    </w:rPr>
                    <w:t xml:space="preserve">3.3 Insider dealing and market abuse</w:t>
                  </w:r>
                </w:p>
                <w:p>
                  <w:pPr>
                    <w:pStyle w:val="BodyText"/>
                  </w:pPr>
                  <w:r>
                    <w:t xml:space="preserve">Before, during and after a takeover bid, the normal rules regarding insider dealing and market abuse remain applicable. For further information on the rules on insider dealing and market abuse, see 6.3 below. The rules include, among other things, that manipulation of the target's stock price, e.g., by creating misleading rumors, is prohibited. In addition, the rules prohibiting insider trading may prevent a Bidder that has inside information regarding a target company from building a stake or launching a takeover bid. Certain exemptions apply under Article 9 of MAR, in particular for inside information obtained in the conduct of a public takeover, provided that such inside information is made public when the offer is launched.</w:t>
                  </w:r>
                </w:p>
                <w:p>
                  <w:pPr>
                    <w:pStyle w:val="BodyText"/>
                  </w:pPr>
                  <w:r>
                    <w:rPr>
                      <w:b/>
                    </w:rPr>
                    <w:t xml:space="preserve">3.4 Disclosure of shareholdings and financial instruments</w:t>
                  </w:r>
                </w:p>
                <w:p>
                  <w:pPr>
                    <w:pStyle w:val="BodyText"/>
                  </w:pPr>
                  <w:r>
                    <w:t xml:space="preserve">The rules regarding the disclosure of shareholdings and transparency apply before, during and after a public takeover bid.</w:t>
                  </w:r>
                </w:p>
                <w:p>
                  <w:pPr>
                    <w:pStyle w:val="BodyText"/>
                  </w:pPr>
                  <w:r>
                    <w:t xml:space="preserve">Pursuant to these rules, if a Bidder starts building up a stake in the target company, it will be obliged to announce its stake to the target company and BaFin if the attached voting rights have reached or crossed an applicable disclosure threshold. The relevant disclosure thresholds in Germany are 3%, 5%, 10%, 15%, 20%, 25%, 30%, 50% and 75%.</w:t>
                  </w:r>
                </w:p>
                <w:p>
                  <w:pPr>
                    <w:pStyle w:val="BodyText"/>
                  </w:pPr>
                  <w:r>
                    <w:t xml:space="preserve">Similar rules apply to the holding of instruments relating to shares in target companies, including call and put options and cash-settled instruments, such as contracts for difference and to the combined holding of shares and instruments. For instruments and for the reporting of the combined holding of shares and instruments, the 3% threshold does not apply.</w:t>
                  </w:r>
                </w:p>
                <w:p>
                  <w:pPr>
                    <w:pStyle w:val="BodyText"/>
                  </w:pPr>
                  <w:r>
                    <w:t xml:space="preserve">When determining whether a threshold has been reached or crossed, a Bidder must also take into account voting rights held by the parties with whom it acts in concert or may be deemed to act in concert (see 3.8 below), which includes affiliates. The parties could also include existing shareholders of the target company with whom the Bidder has entered into specific arrangements, such as pooling or call option agreements.</w:t>
                  </w:r>
                </w:p>
                <w:p>
                  <w:pPr>
                    <w:pStyle w:val="BodyText"/>
                  </w:pPr>
                  <w:r>
                    <w:t xml:space="preserve">Additional disclosure obligations apply if the 10% threshold or a higher threshold is reached or crossed. Within 20 trading days, the shareholder must disclose the investment objective and the source of the funds used for the investment. This means that the shareholder must disclose:</w:t>
                  </w:r>
                </w:p>
                <w:p>
                  <w:pPr>
                    <w:pStyle w:val="BodyText"/>
                  </w:pPr>
                  <w:pPr>
                    <w:pStyle w:val="ListParagraph"/>
                    <w:numPr>
                      <w:ilvl w:val="0"/>
                      <w:numId w:val="38"/>
                    </w:numPr>
                  </w:pPr>
                  <w:r>
                    <w:t xml:space="preserve">whether the investment serves strategic goals or to generate trading profits;</w:t>
                  </w:r>
                </w:p>
                <w:p>
                  <w:pPr>
                    <w:pStyle w:val="BodyText"/>
                  </w:pPr>
                  <w:pPr>
                    <w:pStyle w:val="ListParagraph"/>
                    <w:numPr>
                      <w:ilvl w:val="0"/>
                      <w:numId w:val="38"/>
                    </w:numPr>
                  </w:pPr>
                  <w:r>
                    <w:t xml:space="preserve">whether there is intention to increase the number of voting rights over the next twelve months;</w:t>
                  </w:r>
                </w:p>
                <w:p>
                  <w:pPr>
                    <w:pStyle w:val="BodyText"/>
                  </w:pPr>
                  <w:pPr>
                    <w:pStyle w:val="ListParagraph"/>
                    <w:numPr>
                      <w:ilvl w:val="0"/>
                      <w:numId w:val="38"/>
                    </w:numPr>
                  </w:pPr>
                  <w:r>
                    <w:t xml:space="preserve">whether it is intended to take influence over the composition of the boards; and</w:t>
                  </w:r>
                </w:p>
                <w:p>
                  <w:pPr>
                    <w:pStyle w:val="BodyText"/>
                  </w:pPr>
                  <w:pPr>
                    <w:pStyle w:val="ListParagraph"/>
                    <w:numPr>
                      <w:ilvl w:val="0"/>
                      <w:numId w:val="38"/>
                    </w:numPr>
                  </w:pPr>
                  <w:r>
                    <w:t xml:space="preserve">whether it is intended to change the capital structure of the target company, in particular regarding equity and debt financing or the dividend policy.</w:t>
                  </w:r>
                </w:p>
                <w:p>
                  <w:pPr>
                    <w:pStyle w:val="BodyText"/>
                  </w:pPr>
                  <w:r>
                    <w:t xml:space="preserve">In relation to the source of funds, the shareholder must disclose any debt financings in connection with acquiring the shares.</w:t>
                  </w:r>
                </w:p>
                <w:p>
                  <w:pPr>
                    <w:pStyle w:val="BodyText"/>
                  </w:pPr>
                  <w:r>
                    <w:t xml:space="preserve">If intentions change, this must be reported as well. There are no sanctions for non-compliance with these disclosure obligations save for the target company publishing that it has received no timely disclosure and there is a risk that the shareholder could be found to have manipulated the market by failing to make the requisite disclosures.</w:t>
                  </w:r>
                </w:p>
                <w:p>
                  <w:pPr>
                    <w:pStyle w:val="BodyText"/>
                  </w:pPr>
                  <w:r>
                    <w:rPr>
                      <w:b/>
                    </w:rPr>
                    <w:t xml:space="preserve">3.5 Disclosures by target company</w:t>
                  </w:r>
                </w:p>
                <w:p>
                  <w:pPr>
                    <w:pStyle w:val="BodyText"/>
                  </w:pPr>
                  <w:r>
                    <w:t xml:space="preserve">The target company must continue to comply with the general rules regarding disclosure and transparency. In particular, the target company must publish the disclosure of shareholdings and instruments received from investors within a maximum period of three trading days. The target company must also report its treasury shares if the shareholding reaches or crosses the thresholds of 5% and 10%. The target company must immediately announce all inside information. For further information on inside information, see 6.1 below. The facts surrounding the preparation of a public takeover bid in a "protracted process" may constitute inside information. If so, the target company must announce this. However, the management board of the target company can delay such announcement if it believes that a disclosure would not be in the best interest of the company. For instance, this could be the case if the target's management board believes that an early disclosure would prejudice the negotiations regarding a bid. However, a delay of the announcement is only permitted if the non-disclosure does not entail the risk that the public is misled and if the company can keep the relevant information confidential. Under the EU Listing Act this regime will change significantly effective on 5 June 2026 and issuers will no longer need to report intermediate steps in a protracted process, but only the "final event". Under a delegated act, ESMA shall define the "final" event that triggers the disclosure obligation.</w:t>
                  </w:r>
                </w:p>
                <w:p>
                  <w:pPr>
                    <w:pStyle w:val="BodyText"/>
                  </w:pPr>
                  <w:r>
                    <w:rPr>
                      <w:b/>
                    </w:rPr>
                    <w:t xml:space="preserve">3.6 Announcement of a public takeover bid</w:t>
                  </w:r>
                </w:p>
                <w:p>
                  <w:pPr>
                    <w:pStyle w:val="BodyText"/>
                  </w:pPr>
                  <w:r>
                    <w:t xml:space="preserve">The offer procedure is generally started by the Bidder's announcement of its decision to launch a voluntary offer (for more detail, see 5.2 below).</w:t>
                  </w:r>
                </w:p>
                <w:p>
                  <w:pPr>
                    <w:pStyle w:val="BodyText"/>
                  </w:pPr>
                  <w:r>
                    <w:rPr>
                      <w:b/>
                    </w:rPr>
                    <w:t xml:space="preserve">3.7 Due Diligence</w:t>
                  </w:r>
                </w:p>
                <w:p>
                  <w:pPr>
                    <w:pStyle w:val="BodyText"/>
                  </w:pPr>
                  <w:r>
                    <w:t xml:space="preserve">The German public takeover bid rules do not contain specific rules regarding the question of whether a prior due diligence can be organized, nor how such due diligence is to be organized. German stock corporation law provides a general obligation for the management of a stock corporation to keep information of the company confidential. Nevertheless, the concept of a (limited) prior due diligence or pre-acquisition review by a Bidder is generally accepted in the market and by BaFin as well, and appropriate mechanisms have been developed in practice to organize a due diligence or pre-acquisition review and to cope with potential market abuse and early disclosure concerns. These include the use of strict confidentiality procedures and data rooms and further restrictions under antitrust law, as applicable. One further consequence of a bidder having obtained inside information is that usually such inside information must be published before the offer document is published.</w:t>
                  </w:r>
                </w:p>
                <w:p>
                  <w:pPr>
                    <w:pStyle w:val="BodyText"/>
                  </w:pPr>
                  <w:r>
                    <w:rPr>
                      <w:b/>
                    </w:rPr>
                    <w:t xml:space="preserve">3.8 Acting in concert</w:t>
                  </w:r>
                </w:p>
                <w:p>
                  <w:pPr>
                    <w:pStyle w:val="BodyText"/>
                  </w:pPr>
                  <w:r>
                    <w:t xml:space="preserve">For the purpose of the German takeover bid rules, persons "act in concert":</w:t>
                  </w:r>
                </w:p>
                <w:p>
                  <w:pPr>
                    <w:pStyle w:val="BodyText"/>
                  </w:pPr>
                  <w:pPr>
                    <w:pStyle w:val="ListParagraph"/>
                    <w:numPr>
                      <w:ilvl w:val="0"/>
                      <w:numId w:val="39"/>
                    </w:numPr>
                  </w:pPr>
                  <w:r>
                    <w:t xml:space="preserve">if they collaborate with the Bidder, the target company or with any other person on the basis of an express or silent, oral or written, agreement aimed at acquiring the control over the target company, frustrating the success of a takeover bid or maintaining the control over the target company; or</w:t>
                  </w:r>
                </w:p>
                <w:p>
                  <w:pPr>
                    <w:pStyle w:val="BodyText"/>
                  </w:pPr>
                  <w:pPr>
                    <w:pStyle w:val="ListParagraph"/>
                    <w:numPr>
                      <w:ilvl w:val="0"/>
                      <w:numId w:val="39"/>
                    </w:numPr>
                  </w:pPr>
                  <w:r>
                    <w:t xml:space="preserve">if they have entered into an agreement relating to the exercise in concert of their voting rights with a view to have a lasting common policy in respect of the target company.</w:t>
                  </w:r>
                </w:p>
                <w:p>
                  <w:pPr>
                    <w:pStyle w:val="BodyText"/>
                  </w:pPr>
                  <w:r>
                    <w:t xml:space="preserve">Subsidiaries are deemed to act in concert with the parent company.</w:t>
                  </w:r>
                </w:p>
                <w:p>
                  <w:pPr>
                    <w:pStyle w:val="BodyText"/>
                  </w:pPr>
                  <w:r>
                    <w:t xml:space="preserve">In view of the above rules and criteria, the target company could be one of the persons with whom a shareholder acts in concert or is deemed to act in concert. For example, this is the case where a target company is already controlled by a shareholder.</w:t>
                  </w:r>
                </w:p>
                <w:p>
                  <w:pPr>
                    <w:pStyle w:val="BodyText"/>
                  </w:pPr>
                  <w:r>
                    <w:t xml:space="preserve">The concept of persons acting in concert is very broad, and in practice many issues can arise to determine whether persons act or do not act in concert. This is especially relevant in relation to mandatory takeover bids. However under a recent court case, it was clarified that a one-off coordination between shareholders in connection with a supervisory board election is not acting in concert, even if this has a lasting effect on the target company.</w:t>
                  </w:r>
                </w:p>
                <w:p>
                  <w:pPr>
                    <w:pStyle w:val="BodyText"/>
                  </w:pPr>
                  <w:r>
                    <w:t xml:space="preserve">If one or more persons in a group of persons acting in concert acquire or jointly hold voting securities as a result of which the group in the aggregate would pass the 30% threshold, the members of the group will have a joint obligation to carry out a mandatory takeover bid, even though the individual group members do not pass the 30% threshold. However, it is worth noting that such aggregation for the purpose of the requirement of a mandatory takeover bid requires (a) a coordination on the exercise of voting rights in the target company or (b) acting with the goal of permanently and significantly changing the entrepreneurial direction of the target company.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Effecting a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Effecting a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There are four main forms of public bids in Germany:</w:t>
                  </w:r>
                </w:p>
                <w:p>
                  <w:pPr>
                    <w:pStyle w:val="BodyText"/>
                  </w:pPr>
                  <w:pPr>
                    <w:pStyle w:val="ListParagraph"/>
                    <w:numPr>
                      <w:ilvl w:val="0"/>
                      <w:numId w:val="24"/>
                    </w:numPr>
                  </w:pPr>
                  <w:r>
                    <w:t xml:space="preserve">Voluntary bids</w:t>
                  </w:r>
                </w:p>
                <w:p>
                  <w:pPr>
                    <w:pStyle w:val="BodyText"/>
                  </w:pPr>
                  <w:pPr>
                    <w:pStyle w:val="ListParagraph"/>
                    <w:numPr>
                      <w:ilvl w:val="0"/>
                      <w:numId w:val="24"/>
                    </w:numPr>
                  </w:pPr>
                  <w:r>
                    <w:t xml:space="preserve">(Voluntary) takeover bids</w:t>
                  </w:r>
                </w:p>
                <w:p>
                  <w:pPr>
                    <w:pStyle w:val="BodyText"/>
                  </w:pPr>
                  <w:pPr>
                    <w:pStyle w:val="ListParagraph"/>
                    <w:numPr>
                      <w:ilvl w:val="0"/>
                      <w:numId w:val="24"/>
                    </w:numPr>
                  </w:pPr>
                  <w:r>
                    <w:t xml:space="preserve">Mandatory bids</w:t>
                  </w:r>
                </w:p>
                <w:p>
                  <w:pPr>
                    <w:pStyle w:val="BodyText"/>
                  </w:pPr>
                  <w:pPr>
                    <w:pStyle w:val="ListParagraph"/>
                    <w:numPr>
                      <w:ilvl w:val="0"/>
                      <w:numId w:val="24"/>
                    </w:numPr>
                  </w:pPr>
                  <w:r>
                    <w:t xml:space="preserve">Delisting bids</w:t>
                  </w:r>
                </w:p>
                <w:p>
                  <w:pPr>
                    <w:pStyle w:val="BodyText"/>
                  </w:pPr>
                  <w:r>
                    <w:t xml:space="preserve">Voluntary bids fall under a more liberal legal regime, while (voluntary) takeover bids are already strictly regulated and mandatory bids are subject to the strictest level of regulation.</w:t>
                  </w:r>
                </w:p>
                <w:p>
                  <w:pPr>
                    <w:pStyle w:val="BodyText"/>
                  </w:pPr>
                  <w:r>
                    <w:t xml:space="preserve">The main difference between such three types of offers relates to the principle of "acquisition of control". For the purpose of the Takeover Act, "acquisition of control" occurs if a Bidder acquires at least 30% of the voting rights in a target company ("</w:t>
                  </w:r>
                  <w:r>
                    <w:rPr>
                      <w:b/>
                    </w:rPr>
                    <w:t xml:space="preserve">Control</w:t>
                  </w:r>
                  <w:r>
                    <w:t xml:space="preserve">"). For purposes of determining whether Control has been acquired, extensive attribution rules apply.</w:t>
                  </w:r>
                </w:p>
                <w:p>
                  <w:pPr>
                    <w:pStyle w:val="BodyText"/>
                  </w:pPr>
                  <w:r>
                    <w:t xml:space="preserve">In voluntary bids, the acquisition of Control is not intended and does not occur. In a takeover bid, the acquisition of Control is the goal of the offer, i.e., the Bidder intends to acquire Control through or in conjunction with the offer. In a mandatory bid, the acquisition of Control precedes the offer and triggers an obligation to make the mandatory bid.</w:t>
                  </w:r>
                </w:p>
                <w:p>
                  <w:pPr>
                    <w:pStyle w:val="BodyText"/>
                  </w:pPr>
                  <w:r>
                    <w:rPr>
                      <w:b/>
                    </w:rPr>
                    <w:t xml:space="preserve">4.1 Voluntary bid</w:t>
                  </w:r>
                </w:p>
                <w:p>
                  <w:pPr>
                    <w:pStyle w:val="BodyText"/>
                  </w:pPr>
                  <w:r>
                    <w:t xml:space="preserve">Voluntary bids are all offers not aimed at achieving Control. Basically, two different kinds of offers are covered:</w:t>
                  </w:r>
                </w:p>
                <w:p>
                  <w:pPr>
                    <w:pStyle w:val="BodyText"/>
                  </w:pPr>
                  <w:pPr>
                    <w:pStyle w:val="ListParagraph"/>
                    <w:numPr>
                      <w:ilvl w:val="0"/>
                      <w:numId w:val="25"/>
                    </w:numPr>
                  </w:pPr>
                  <w:r>
                    <w:t xml:space="preserve">Offers to obtain less than 30% of the voting rights in a target company to build up a certain non-controlling stake.</w:t>
                  </w:r>
                </w:p>
                <w:p>
                  <w:pPr>
                    <w:pStyle w:val="BodyText"/>
                  </w:pPr>
                  <w:pPr>
                    <w:pStyle w:val="ListParagraph"/>
                    <w:numPr>
                      <w:ilvl w:val="0"/>
                      <w:numId w:val="25"/>
                    </w:numPr>
                  </w:pPr>
                  <w:r>
                    <w:t xml:space="preserve">Offers to obtain further shares by a shareholder who already has Control, so-called add-on offers. For example, such add- on offers could occur if a Bidder were to make a public offer with the goal to increase its stake to 90% or even 95%, enabling the Bidder to squeeze out the remaining minority shareholders.</w:t>
                  </w:r>
                </w:p>
                <w:p>
                  <w:pPr>
                    <w:pStyle w:val="BodyText"/>
                  </w:pPr>
                  <w:r>
                    <w:t xml:space="preserve">The provisions of the Takeover Act on voluntary bids are less strict than those on takeover and mandatory bids. For example, the Takeover Act does not restrict the Bidder's choice of the type and amount of consideration for a voluntary bid. In addition:</w:t>
                  </w:r>
                </w:p>
                <w:p>
                  <w:pPr>
                    <w:pStyle w:val="BodyText"/>
                  </w:pPr>
                  <w:pPr>
                    <w:pStyle w:val="ListParagraph"/>
                    <w:numPr>
                      <w:ilvl w:val="0"/>
                      <w:numId w:val="26"/>
                    </w:numPr>
                  </w:pPr>
                  <w:r>
                    <w:t xml:space="preserve">unlike takeover and mandatory bids, voluntary bids do not have to extend to all shares of the target company. The Bidder may set a maximum offer volume. This is strongly recommended so that the Bidder avoids crossing the 30% threshold, which in turn would trigger an obligation to make a mandatory bid. In case the offer is accepted for more shares than the maximum, the volume of acceptances would then be reduced proportionally for each shareholder; and</w:t>
                  </w:r>
                </w:p>
                <w:p>
                  <w:pPr>
                    <w:pStyle w:val="BodyText"/>
                  </w:pPr>
                  <w:pPr>
                    <w:pStyle w:val="ListParagraph"/>
                    <w:numPr>
                      <w:ilvl w:val="0"/>
                      <w:numId w:val="26"/>
                    </w:numPr>
                  </w:pPr>
                  <w:r>
                    <w:t xml:space="preserve">a voluntary bid and a takeover bid may also be made subject to conditions. The only restriction is that the Bidder may not have a direct influence on the fulfilment of these conditions.</w:t>
                  </w:r>
                </w:p>
                <w:p>
                  <w:pPr>
                    <w:pStyle w:val="BodyText"/>
                  </w:pPr>
                  <w:pPr>
                    <w:pStyle w:val="ListParagraph"/>
                    <w:numPr>
                      <w:ilvl w:val="0"/>
                      <w:numId w:val="26"/>
                    </w:numPr>
                  </w:pPr>
                  <w:r>
                    <w:t xml:space="preserve">No conditions can be included where the bid is at the same time a delisting bid, because delisting bids must be unconditional.</w:t>
                  </w:r>
                </w:p>
                <w:p>
                  <w:pPr>
                    <w:pStyle w:val="BodyText"/>
                  </w:pPr>
                  <w:r>
                    <w:rPr>
                      <w:b/>
                    </w:rPr>
                    <w:t xml:space="preserve">4.2 </w:t>
                  </w:r>
                  <w:r>
                    <w:rPr>
                      <w:b/>
                    </w:rPr>
                    <w:t xml:space="preserve">(Voluntary) takeover bid</w:t>
                  </w:r>
                </w:p>
                <w:p>
                  <w:pPr>
                    <w:pStyle w:val="BodyText"/>
                  </w:pPr>
                  <w:r>
                    <w:t xml:space="preserve">Takeover bids are made by a Bidder who does not yet have Control over the target company, but aims to acquire Control over the target company through or in conjunction with the offer. Takeover bids are voluntary. They must extend to 100% of the outstanding shares of the target company, but otherwise benefit from a somewhat more flexible regime compared to the one applicable to mandatory bids.</w:t>
                  </w:r>
                </w:p>
                <w:p>
                  <w:pPr>
                    <w:pStyle w:val="BodyText"/>
                  </w:pPr>
                  <w:pPr>
                    <w:pStyle w:val="ListParagraph"/>
                    <w:numPr>
                      <w:ilvl w:val="0"/>
                      <w:numId w:val="27"/>
                    </w:numPr>
                  </w:pPr>
                  <w:r>
                    <w:t xml:space="preserve">Most importantly and unlike mandatory bids, takeover bids may be subject to the fulfilment of certain conditions. In practice, the most frequently used condition (besides merger control clearance) is a so-called minimum acceptance threshold. The Bidder can define a certain acceptance ratio, e.g., a minimum of 75% of the shares of the target company (including shares already held). If this threshold is not met and the condition is not waived, the offer lapses.</w:t>
                  </w:r>
                </w:p>
                <w:p>
                  <w:pPr>
                    <w:pStyle w:val="BodyText"/>
                  </w:pPr>
                  <w:pPr>
                    <w:pStyle w:val="ListParagraph"/>
                    <w:numPr>
                      <w:ilvl w:val="0"/>
                      <w:numId w:val="27"/>
                    </w:numPr>
                  </w:pPr>
                  <w:r>
                    <w:t xml:space="preserve">It is also possible to make a takeover bid subject to a material adverse change condition, which will allow the Bidder to withdraw from the offer if certain clearly defined adverse events occur. However, the Bidder must not be able to withdraw from the offer at their own discretion. Therefore, conditions are only admissible if the Bidder has no direct influence on their fulfilment and if they are so clearly defined that there is no room for interpretation as to whether the conditions are met or not.</w:t>
                  </w:r>
                </w:p>
                <w:p>
                  <w:pPr>
                    <w:pStyle w:val="BodyText"/>
                  </w:pPr>
                  <w:pPr>
                    <w:pStyle w:val="ListParagraph"/>
                    <w:numPr>
                      <w:ilvl w:val="0"/>
                      <w:numId w:val="27"/>
                    </w:numPr>
                  </w:pPr>
                  <w:r>
                    <w:t xml:space="preserve">The Bidder can waive the conditions during the offer period. For example, a Bidder may waive the minimum acceptance threshold.</w:t>
                  </w:r>
                </w:p>
                <w:p>
                  <w:pPr>
                    <w:pStyle w:val="BodyText"/>
                  </w:pPr>
                  <w:pPr>
                    <w:pStyle w:val="ListParagraph"/>
                    <w:numPr>
                      <w:ilvl w:val="0"/>
                      <w:numId w:val="27"/>
                    </w:numPr>
                  </w:pPr>
                  <w:r>
                    <w:t xml:space="preserve">No conditions can be included where the bid is at the same time a delisting bid, because delisting bids must be unconditional.</w:t>
                  </w:r>
                </w:p>
                <w:p>
                  <w:pPr>
                    <w:pStyle w:val="BodyText"/>
                  </w:pPr>
                  <w:r>
                    <w:rPr>
                      <w:b/>
                    </w:rPr>
                    <w:t xml:space="preserve">4.3 </w:t>
                  </w:r>
                  <w:r>
                    <w:rPr>
                      <w:b/>
                    </w:rPr>
                    <w:t xml:space="preserve">Mandatory bid</w:t>
                  </w:r>
                </w:p>
                <w:p>
                  <w:pPr>
                    <w:pStyle w:val="BodyText"/>
                  </w:pPr>
                  <w:pPr>
                    <w:pStyle w:val="ListParagraph"/>
                    <w:numPr>
                      <w:ilvl w:val="0"/>
                      <w:numId w:val="28"/>
                    </w:numPr>
                  </w:pPr>
                  <w:r>
                    <w:t xml:space="preserve">A mandatory takeover bid is triggered as soon as a person or group of persons acting in concert (or persons acting for their account) directly or indirectly hold(s) at least 30% of the (actual outstanding) voting securities of the target company.</w:t>
                  </w:r>
                </w:p>
                <w:p>
                  <w:pPr>
                    <w:pStyle w:val="BodyText"/>
                  </w:pPr>
                  <w:pPr>
                    <w:pStyle w:val="ListParagraph"/>
                    <w:numPr>
                      <w:ilvl w:val="0"/>
                      <w:numId w:val="28"/>
                    </w:numPr>
                  </w:pPr>
                  <w:r>
                    <w:t xml:space="preserve">The mandatory takeover bid is unconditional (subject to certain very narrow exemptions such as regulatory approvals in special circumstances).</w:t>
                  </w:r>
                </w:p>
                <w:p>
                  <w:pPr>
                    <w:pStyle w:val="BodyText"/>
                  </w:pPr>
                  <w:r>
                    <w:t xml:space="preserve">A mandatory takeover bid is not required if the Bidder has obtained control on the basis of a voluntary takeover bid or if BaFin has granted an exemption. There are two different ways in which a Bidder may be exempted even though they hold 30% or more of the voting rights.</w:t>
                  </w:r>
                </w:p>
                <w:p>
                  <w:pPr>
                    <w:pStyle w:val="BodyText"/>
                  </w:pPr>
                  <w:r>
                    <w:t xml:space="preserve">Firstly, BaFin may decide that some or all of the voting rights are not to be taken into account when calculating whether the 30% threshold has been reached or not. However, this exemption is only available if the Bidder has acquired the relevant voting rights by way of:</w:t>
                  </w:r>
                </w:p>
                <w:p>
                  <w:pPr>
                    <w:pStyle w:val="BodyText"/>
                  </w:pPr>
                  <w:pPr>
                    <w:pStyle w:val="ListParagraph"/>
                    <w:numPr>
                      <w:ilvl w:val="0"/>
                      <w:numId w:val="29"/>
                    </w:numPr>
                  </w:pPr>
                  <w:r>
                    <w:t xml:space="preserve">inheritance, donation between near relatives;</w:t>
                  </w:r>
                </w:p>
                <w:p>
                  <w:pPr>
                    <w:pStyle w:val="BodyText"/>
                  </w:pPr>
                  <w:pPr>
                    <w:pStyle w:val="ListParagraph"/>
                    <w:numPr>
                      <w:ilvl w:val="0"/>
                      <w:numId w:val="29"/>
                    </w:numPr>
                  </w:pPr>
                  <w:r>
                    <w:t xml:space="preserve">change of the legal form; or</w:t>
                  </w:r>
                </w:p>
                <w:p>
                  <w:pPr>
                    <w:pStyle w:val="BodyText"/>
                  </w:pPr>
                  <w:pPr>
                    <w:pStyle w:val="ListParagraph"/>
                    <w:numPr>
                      <w:ilvl w:val="0"/>
                      <w:numId w:val="29"/>
                    </w:numPr>
                  </w:pPr>
                  <w:r>
                    <w:t xml:space="preserve">restructuring measures within the group of companies to which the Bidder belongs.</w:t>
                  </w:r>
                </w:p>
                <w:p>
                  <w:pPr>
                    <w:pStyle w:val="BodyText"/>
                  </w:pPr>
                  <w:r>
                    <w:t xml:space="preserve">Secondly, upon written request, BaFin may exempt the Bidder from the obligation to submit a mandatory takeover bid in certain cases, which are provided for in the Bid Regulation. BaFin may provide such exemption at its own discretion. In particular, an exemption will be considered if:</w:t>
                  </w:r>
                </w:p>
                <w:p>
                  <w:pPr>
                    <w:pStyle w:val="BodyText"/>
                  </w:pPr>
                  <w:pPr>
                    <w:pStyle w:val="ListParagraph"/>
                    <w:numPr>
                      <w:ilvl w:val="0"/>
                      <w:numId w:val="30"/>
                    </w:numPr>
                  </w:pPr>
                  <w:r>
                    <w:t xml:space="preserve">the Bidder has acquired Control by way of inheritance or donation from someone who is not a relative;</w:t>
                  </w:r>
                </w:p>
                <w:p>
                  <w:pPr>
                    <w:pStyle w:val="BodyText"/>
                  </w:pPr>
                  <w:pPr>
                    <w:pStyle w:val="ListParagraph"/>
                    <w:numPr>
                      <w:ilvl w:val="0"/>
                      <w:numId w:val="30"/>
                    </w:numPr>
                  </w:pPr>
                  <w:r>
                    <w:t xml:space="preserve">the Bidder intends to recapitalize a target company in financial difficulties;</w:t>
                  </w:r>
                </w:p>
                <w:p>
                  <w:pPr>
                    <w:pStyle w:val="BodyText"/>
                  </w:pPr>
                  <w:pPr>
                    <w:pStyle w:val="ListParagraph"/>
                    <w:numPr>
                      <w:ilvl w:val="0"/>
                      <w:numId w:val="30"/>
                    </w:numPr>
                  </w:pPr>
                  <w:r>
                    <w:t xml:space="preserve">the Bidder has only indirectly acquired Control through the acquisition of another company (holding a controlling stake in the target company), and the book value of the stake in the target company held by the other company amounts to less than 20% of the entire book value of its assets;</w:t>
                  </w:r>
                </w:p>
                <w:p>
                  <w:pPr>
                    <w:pStyle w:val="BodyText"/>
                  </w:pPr>
                  <w:pPr>
                    <w:pStyle w:val="ListParagraph"/>
                    <w:numPr>
                      <w:ilvl w:val="0"/>
                      <w:numId w:val="30"/>
                    </w:numPr>
                  </w:pPr>
                  <w:r>
                    <w:t xml:space="preserve">the Bidder has acquired the controlling stake only as a security;</w:t>
                  </w:r>
                </w:p>
                <w:p>
                  <w:pPr>
                    <w:pStyle w:val="BodyText"/>
                  </w:pPr>
                  <w:pPr>
                    <w:pStyle w:val="ListParagraph"/>
                    <w:numPr>
                      <w:ilvl w:val="0"/>
                      <w:numId w:val="30"/>
                    </w:numPr>
                  </w:pPr>
                  <w:r>
                    <w:t xml:space="preserve">the acquisition of Control was triggered by a reverse share split of the target company;</w:t>
                  </w:r>
                </w:p>
                <w:p>
                  <w:pPr>
                    <w:pStyle w:val="BodyText"/>
                  </w:pPr>
                  <w:pPr>
                    <w:pStyle w:val="ListParagraph"/>
                    <w:numPr>
                      <w:ilvl w:val="0"/>
                      <w:numId w:val="30"/>
                    </w:numPr>
                  </w:pPr>
                  <w:r>
                    <w:t xml:space="preserve">another shareholder holds a higher stake in the target company than the Bidder;</w:t>
                  </w:r>
                </w:p>
                <w:p>
                  <w:pPr>
                    <w:pStyle w:val="BodyText"/>
                  </w:pPr>
                  <w:pPr>
                    <w:pStyle w:val="ListParagraph"/>
                    <w:numPr>
                      <w:ilvl w:val="0"/>
                      <w:numId w:val="30"/>
                    </w:numPr>
                  </w:pPr>
                  <w:r>
                    <w:t xml:space="preserve">on the basis of the attendance at the last three general meetings of the target company, it is unlikely that the Bidder will have more than 50% of the voting rights at the next general meeting; or</w:t>
                  </w:r>
                </w:p>
                <w:p>
                  <w:pPr>
                    <w:pStyle w:val="BodyText"/>
                  </w:pPr>
                  <w:pPr>
                    <w:pStyle w:val="ListParagraph"/>
                    <w:numPr>
                      <w:ilvl w:val="0"/>
                      <w:numId w:val="30"/>
                    </w:numPr>
                  </w:pPr>
                  <w:r>
                    <w:t xml:space="preserve">the Bidder's stake has fallen below the 30% threshold immediately after it was reached.</w:t>
                  </w:r>
                </w:p>
                <w:p>
                  <w:pPr>
                    <w:pStyle w:val="BodyText"/>
                  </w:pPr>
                  <w:r>
                    <w:rPr>
                      <w:b/>
                    </w:rPr>
                    <w:t xml:space="preserve">4.4 </w:t>
                  </w:r>
                  <w:r>
                    <w:rPr>
                      <w:b/>
                    </w:rPr>
                    <w:t xml:space="preserve">Delisting bids</w:t>
                  </w:r>
                </w:p>
                <w:p>
                  <w:pPr>
                    <w:pStyle w:val="BodyText"/>
                  </w:pPr>
                  <w:r>
                    <w:t xml:space="preserve">Under the Stock Exchange Act (</w:t>
                  </w:r>
                  <w:r>
                    <w:rPr>
                      <w:i/>
                    </w:rPr>
                    <w:t xml:space="preserve">Börsengesetz</w:t>
                  </w:r>
                  <w:r>
                    <w:t xml:space="preserve">) it is a condition to a delisting application that the shareholders have an "exit" from the company through a voluntary bid, which is typically launched by a major shareholder or the controlling shareholder of the target company.</w:t>
                  </w:r>
                </w:p>
                <w:p>
                  <w:pPr>
                    <w:pStyle w:val="BodyText"/>
                  </w:pPr>
                  <w:r>
                    <w:t xml:space="preserve">The delisting bid cannot, without exception, be made subject to any condition.</w:t>
                  </w:r>
                </w:p>
                <w:p>
                  <w:pPr>
                    <w:pStyle w:val="BodyText"/>
                  </w:pPr>
                  <w:r>
                    <w:t xml:space="preserve">The key features are similar to the rules on mandatory bids, i.e., the bid must relate to all outstanding shares of the company not held by the Bidder and follow the minimum pricing rules for takeover bids with the following modifications:</w:t>
                  </w:r>
                </w:p>
                <w:p>
                  <w:pPr>
                    <w:pStyle w:val="BodyText"/>
                  </w:pPr>
                  <w:pPr>
                    <w:pStyle w:val="ListParagraph"/>
                    <w:numPr>
                      <w:ilvl w:val="0"/>
                      <w:numId w:val="31"/>
                    </w:numPr>
                  </w:pPr>
                  <w:r>
                    <w:t xml:space="preserve">The cash offer consideration must be at least the volume weighted average stock price ("</w:t>
                  </w:r>
                  <w:r>
                    <w:rPr>
                      <w:b/>
                    </w:rPr>
                    <w:t xml:space="preserve">VWAP</w:t>
                  </w:r>
                  <w:r>
                    <w:t xml:space="preserve">") over a period of six months (rather than three months).</w:t>
                  </w:r>
                </w:p>
                <w:p>
                  <w:pPr>
                    <w:pStyle w:val="BodyText"/>
                  </w:pPr>
                  <w:pPr>
                    <w:pStyle w:val="ListParagraph"/>
                    <w:numPr>
                      <w:ilvl w:val="0"/>
                      <w:numId w:val="31"/>
                    </w:numPr>
                  </w:pPr>
                  <w:r>
                    <w:t xml:space="preserve">The offer consideration must be based on a company valuation where the issuer failed to publish inside information under Article 17 of MAR or the issuer or the Bidder have breached the prohibition of market manipulation under Article 15 of MAR or where the stock trading during the relevant period is illiquid.</w:t>
                  </w:r>
                </w:p>
                <w:p>
                  <w:pPr>
                    <w:pStyle w:val="BodyText"/>
                  </w:pPr>
                  <w:r>
                    <w:t xml:space="preserve">Delisting bids could be combined with other bids, e.g., a takeover bid, provided the stricter rules for delisting bids are followed. This would, for example, not allow any conditions, such as a minimum acceptance threshold, and minimum pricing rules from both sets of rules would apply, i.e. typically would be subject to the higher of two thresholds (3 months and 6 months VWAP).</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Timeline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Timeline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 table below contains a summarized overview of the main steps of a typical voluntary public takeover bid process under German law. The takeover bid process for a mandatory public takeover bid is similar to the process set out below for a voluntary public takeover bid, with certain differences.</w:t>
                  </w:r>
                </w:p>
                <w:tbl>
                  <w:pPr>
                    <w:pStyle w:val="BodyText"/>
                  </w:pPr>
                  <w:tblPr>
                    <w:tblStyle w:val="TableGrid"/>
                    <w:tblW w:w="5000" w:type="pct"/>
                    <w:tblCellSpacing w:w="0" w:type="dxa"/>
                    <w:tblCellMar>
                      <w:top w:w="0" w:type="dxa"/>
                      <w:left w:w="0" w:type="dxa"/>
                      <w:bottom w:w="0" w:type="dxa"/>
                      <w:right w:w="0" w:type="dxa"/>
                    </w:tblCellMar>
                  </w:tblPr>
                  <w:tblGrid>
                    <w:gridCol/>
                  </w:tblGrid>
                  <w:tr>
                    <w:tc>
                      <w:tcPr>
                        <w:vAlign w:val="center"/>
                      </w:tcPr>
                      <w:p>
                        <w:r>
                          <w:rPr>
                            <w:color w:val="FFFFFF"/>
                          </w:rPr>
                          <w:t xml:space="preserve">Step</w:t>
                        </w:r>
                      </w:p>
                    </w:tc>
                  </w:tr>
                  <w:tr>
                    <w:tc>
                      <w:tcPr>
                        <w:vAlign w:val="center"/>
                      </w:tcPr>
                      <w:p>
                        <w:r>
                          <w:t xml:space="preserve">1. Preparatory stage:</w:t>
                        </w:r>
                      </w:p>
                      <w:p>
                        <w:pPr>
                          <w:pStyle w:val="ListParagraph"/>
                          <w:numPr>
                            <w:ilvl w:val="0"/>
                            <w:numId w:val="21"/>
                          </w:numPr>
                        </w:pPr>
                        <w:r>
                          <w:t xml:space="preserve">Preparation of the bid by the Bidder (due diligence, financing and draft offer document).</w:t>
                        </w:r>
                      </w:p>
                      <w:p>
                        <w:pPr>
                          <w:pStyle w:val="ListParagraph"/>
                          <w:numPr>
                            <w:ilvl w:val="0"/>
                            <w:numId w:val="21"/>
                          </w:numPr>
                        </w:pPr>
                        <w:r>
                          <w:t xml:space="preserve">The Bidder approaches the target company and/or its key shareholders.</w:t>
                        </w:r>
                      </w:p>
                      <w:p>
                        <w:pPr>
                          <w:pStyle w:val="ListParagraph"/>
                          <w:numPr>
                            <w:ilvl w:val="0"/>
                            <w:numId w:val="21"/>
                          </w:numPr>
                        </w:pPr>
                        <w:r>
                          <w:t xml:space="preserve">Negotiations with the target company and/or its key shareholders.</w:t>
                        </w:r>
                      </w:p>
                    </w:tc>
                  </w:tr>
                  <w:tr>
                    <w:tc>
                      <w:tcPr>
                        <w:vAlign w:val="top"/>
                      </w:tcPr>
                      <w:p>
                        <w:r>
                          <w:t xml:space="preserve">2. Launching of the bid:</w:t>
                        </w:r>
                      </w:p>
                      <w:p>
                        <w:pPr>
                          <w:pStyle w:val="ListParagraph"/>
                          <w:numPr>
                            <w:ilvl w:val="0"/>
                            <w:numId w:val="22"/>
                          </w:numPr>
                        </w:pPr>
                        <w:r>
                          <w:t xml:space="preserve">A significant step in the preparation of a takeover bid is the decision of the Bidder to launch a voluntary offer ("</w:t>
                        </w:r>
                        <w:r>
                          <w:rPr>
                            <w:b/>
                          </w:rPr>
                          <w:t xml:space="preserve">Takeover Decision</w:t>
                        </w:r>
                        <w:r>
                          <w:t xml:space="preserve">"). The Bidder has to notify the Takeover Decision to BaFin and the target and publish it immediately ("</w:t>
                        </w:r>
                        <w:r>
                          <w:rPr>
                            <w:b/>
                          </w:rPr>
                          <w:t xml:space="preserve">Section 10 Notification</w:t>
                        </w:r>
                        <w:r>
                          <w:t xml:space="preserve">"). Determining the point in time when the Takeover Decision is taken can sometimes be difficult as it typically coincides with the signing of a binding agreement with the key shareholders and/or the target, but may also occur earlier in the process.</w:t>
                        </w:r>
                      </w:p>
                      <w:p>
                        <w:pPr>
                          <w:pStyle w:val="ListParagraph"/>
                          <w:numPr>
                            <w:ilvl w:val="0"/>
                            <w:numId w:val="22"/>
                          </w:numPr>
                        </w:pPr>
                        <w:r>
                          <w:t xml:space="preserve">The publication of the Section 10 Notification marks the beginning of a four-week deadline for the Bidder to prepare the offer document and to submit it to BaFin for review and approval.</w:t>
                        </w:r>
                      </w:p>
                    </w:tc>
                  </w:tr>
                  <w:tr>
                    <w:tc>
                      <w:tcPr>
                        <w:vAlign w:val="top"/>
                      </w:tcPr>
                      <w:p>
                        <w:r>
                          <w:t xml:space="preserve">3. After submission of the offer document by the Bidder, BaFin has a period of 10 business days to review and approve or reject the offer document. The review period may be extended by BaFin by up to five business days. The offer is usually either expressly approved or rejected by BaFin. If BaFin fails to react in the specified period, the offer will be deemed approved.</w:t>
                        </w:r>
                      </w:p>
                    </w:tc>
                  </w:tr>
                  <w:tr>
                    <w:tc>
                      <w:tcPr>
                        <w:vAlign w:val="top"/>
                      </w:tcPr>
                      <w:p>
                        <w:r>
                          <w:t xml:space="preserve">4. Following BaFin's approval of the offer document the Bidder must publish the offer document on the internet and at least an announcement on the publication in the electronic version of the Federal Gazette (</w:t>
                        </w:r>
                        <w:r>
                          <w:rPr>
                            <w:i/>
                          </w:rPr>
                          <w:t xml:space="preserve">elektronischer Bundesanzeiger</w:t>
                        </w:r>
                        <w:r>
                          <w:t xml:space="preserve">).</w:t>
                        </w:r>
                      </w:p>
                    </w:tc>
                  </w:tr>
                  <w:tr>
                    <w:tc>
                      <w:tcPr>
                        <w:vAlign w:val="top"/>
                      </w:tcPr>
                      <w:p>
                        <w:r>
                          <w:t xml:space="preserve">5. Launch of the acceptance period:</w:t>
                        </w:r>
                      </w:p>
                      <w:p>
                        <w:pPr>
                          <w:pStyle w:val="ListParagraph"/>
                          <w:numPr>
                            <w:ilvl w:val="0"/>
                            <w:numId w:val="23"/>
                          </w:numPr>
                        </w:pPr>
                        <w:r>
                          <w:t xml:space="preserve">Start: after publication of the offer document.</w:t>
                        </w:r>
                      </w:p>
                      <w:p>
                        <w:pPr>
                          <w:pStyle w:val="ListParagraph"/>
                          <w:numPr>
                            <w:ilvl w:val="0"/>
                            <w:numId w:val="23"/>
                          </w:numPr>
                        </w:pPr>
                        <w:r>
                          <w:t xml:space="preserve">Duration: not less than four weeks and not more than 10 weeks (ultimately relevant is the number of business days, i.e. public holidays are disregarded). The acceptance period will be extended (a) in the event of a competing offer with a longer acceptance period, (b) if the target calls a general meeting or (c) if the offer is amended in the last two weeks of the acceptance period.</w:t>
                        </w:r>
                      </w:p>
                    </w:tc>
                  </w:tr>
                  <w:tr>
                    <w:tc>
                      <w:tcPr>
                        <w:vAlign w:val="top"/>
                      </w:tcPr>
                      <w:p>
                        <w:r>
                          <w:t xml:space="preserve">6. Publication of a "reasoned statement" on the offer by the management board and supervisory board of the target company (without undue delay after publication of the offer document).</w:t>
                        </w:r>
                      </w:p>
                    </w:tc>
                  </w:tr>
                  <w:tr>
                    <w:tc>
                      <w:tcPr>
                        <w:vAlign w:val="top"/>
                      </w:tcPr>
                      <w:p>
                        <w:r>
                          <w:t xml:space="preserve">7. Publication of the number of shares held/tendered: weekly during the acceptance period, daily during the last week of the acceptance period and immediately after the end of the acceptance period.</w:t>
                        </w:r>
                      </w:p>
                    </w:tc>
                  </w:tr>
                  <w:tr>
                    <w:tc>
                      <w:tcPr>
                        <w:vAlign w:val="top"/>
                      </w:tcPr>
                      <w:p>
                        <w:r>
                          <w:t xml:space="preserve">8. If a voluntary takeover offer is successful, i.e., unless a minimum acceptance threshold was not reached: "Additional acceptance period" of two weeks.</w:t>
                        </w:r>
                      </w:p>
                    </w:tc>
                  </w:tr>
                  <w:tr>
                    <w:tc>
                      <w:tcPr>
                        <w:vAlign w:val="top"/>
                      </w:tcPr>
                      <w:p>
                        <w:r>
                          <w:t xml:space="preserve">9. Publication of results: immediately after the end of the additional acceptance period.</w:t>
                        </w:r>
                      </w:p>
                    </w:tc>
                  </w:tr>
                  <w:tr>
                    <w:tc>
                      <w:tcPr>
                        <w:vAlign w:val="top"/>
                      </w:tcPr>
                      <w:p>
                        <w:r>
                          <w:t xml:space="preserve">10. Payment of the offered consideration by the Bidder (depending on the structure chosen by Bidder, there may be one or two settlements).</w:t>
                        </w:r>
                      </w:p>
                    </w:tc>
                  </w:tr>
                </w:tbl>
                <w:p>
                  <w:pPr>
                    <w:pStyle w:val="BodyText"/>
                  </w:pPr>
                  <w:r>
                    <w:t xml:space="preserve">Click here to view diagram for </w:t>
                  </w:r>
                  <w:hyperlink w:history="true" r:id="R7e5f385f47ed45e3">
                    <w:r>
                      <w:rPr>
                        <w:rStyle w:val="Hyperlink"/>
                      </w:rPr>
                      <w:t xml:space="preserve">Germany</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Takeover Tactics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Takeover Tactics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6.1 Inside information</w:t>
                  </w:r>
                </w:p>
                <w:p>
                  <w:pPr>
                    <w:pStyle w:val="BodyText"/>
                  </w:pPr>
                  <w:r>
                    <w:t xml:space="preserve">A German listed company is obligated to immediately disclose to the public all "inside information" that relates to it, including all material changes in information that has already been disclosed to the public.</w:t>
                  </w:r>
                </w:p>
                <w:p>
                  <w:pPr>
                    <w:pStyle w:val="BodyText"/>
                  </w:pPr>
                  <w:pPr>
                    <w:pStyle w:val="ListParagraph"/>
                    <w:numPr>
                      <w:ilvl w:val="0"/>
                      <w:numId w:val="11"/>
                    </w:numPr>
                  </w:pPr>
                  <w:r>
                    <w:t xml:space="preserve">"</w:t>
                  </w:r>
                  <w:r>
                    <w:rPr>
                      <w:i/>
                    </w:rPr>
                    <w:t xml:space="preserve">Inside information</w:t>
                  </w:r>
                  <w:r>
                    <w:t xml:space="preserve">" means information of a precise nature which has not been made public, relating, directly or indirectly, to one or more issuers of financial instruments or to one or more financial instruments and which, if it were made public, would be likely to have a significant effect on the prices of those financial instruments or on the price of related derivative financial instruments.</w:t>
                  </w:r>
                </w:p>
                <w:p>
                  <w:pPr>
                    <w:pStyle w:val="BodyText"/>
                  </w:pPr>
                  <w:pPr>
                    <w:pStyle w:val="ListParagraph"/>
                    <w:numPr>
                      <w:ilvl w:val="0"/>
                      <w:numId w:val="11"/>
                    </w:numPr>
                  </w:pPr>
                  <w:r>
                    <w:t xml:space="preserve">Information shall be deemed to be of a "</w:t>
                  </w:r>
                  <w:r>
                    <w:rPr>
                      <w:i/>
                    </w:rPr>
                    <w:t xml:space="preserve">precise nature</w:t>
                  </w:r>
                  <w:r>
                    <w:t xml:space="preserve">" if it indicates a set of circumstances which exists or may reasonably be expected to come into existence, or an event which has occurred or may reasonably be expected to do so, and if it is specific enough to enable a conclusion to be drawn as to the possible effect of that set of circumstances or event on the prices of financial instruments or related derivative financial instruments.</w:t>
                  </w:r>
                </w:p>
                <w:p>
                  <w:pPr>
                    <w:pStyle w:val="BodyText"/>
                  </w:pPr>
                  <w:pPr>
                    <w:pStyle w:val="ListParagraph"/>
                    <w:numPr>
                      <w:ilvl w:val="0"/>
                      <w:numId w:val="11"/>
                    </w:numPr>
                  </w:pPr>
                  <w:r>
                    <w:t xml:space="preserve">"</w:t>
                  </w:r>
                  <w:r>
                    <w:rPr>
                      <w:i/>
                    </w:rPr>
                    <w:t xml:space="preserve">Information which, if it were made public, would be likely to have a significant effect on the prices of financial instruments or related derivative financial instruments</w:t>
                  </w:r>
                  <w:r>
                    <w:t xml:space="preserve">" shall mean information a reasonable investor would be likely to use as part of the basis of their investment decisions.</w:t>
                  </w:r>
                </w:p>
                <w:p>
                  <w:pPr>
                    <w:pStyle w:val="BodyText"/>
                  </w:pPr>
                  <w:r>
                    <w:t xml:space="preserve">It is up to the company to determine if certain information qualifies as "inside information". This will often be a difficult exercise, and a large gray area may exist as to whether certain events will need to be disclosed or not.</w:t>
                  </w:r>
                </w:p>
                <w:p>
                  <w:pPr>
                    <w:pStyle w:val="BodyText"/>
                  </w:pPr>
                  <w:r>
                    <w:rPr>
                      <w:b/>
                    </w:rPr>
                    <w:t xml:space="preserve">6.2 In the event of a public takeover bid</w:t>
                  </w:r>
                </w:p>
                <w:p>
                  <w:pPr>
                    <w:pStyle w:val="BodyText"/>
                  </w:pPr>
                  <w:r>
                    <w:t xml:space="preserve">In the event of a (potential) public takeover bid, the Takeover Act contains detailed provisions in relation to public notifications and announcements that will have to be made by the Bidder at specific times. These generally start with the obligation to announce the Takeover Decision through the Section 10 Notification (see 5 above) or the obligation to announce an acquisition of Control. Notifications and disclosures generally do not require prior approval by BaFin, with the exception of the offer document, but it is not uncommon to approach BaFin prior to the disclosure.</w:t>
                  </w:r>
                </w:p>
                <w:p>
                  <w:pPr>
                    <w:pStyle w:val="BodyText"/>
                  </w:pPr>
                  <w:r>
                    <w:rPr>
                      <w:b/>
                    </w:rPr>
                    <w:t xml:space="preserve">6.3 Insider dealing and market abuse</w:t>
                  </w:r>
                </w:p>
                <w:p>
                  <w:pPr>
                    <w:pStyle w:val="BodyText"/>
                  </w:pPr>
                  <w:r>
                    <w:t xml:space="preserve">The basic legal framework regarding insider dealing and market abuse under German law is set forth in the MAR. The same rules on insider dealing and market abuse apply in all other jurisdictions of the EEA – even though there are sometimes important nuances in interpretation between the different regulatory authorities across the EEA. Also, there may be significant differences in the vigor of enforcement by the different authorities.</w:t>
                  </w:r>
                </w:p>
                <w:p>
                  <w:pPr>
                    <w:pStyle w:val="BodyText"/>
                  </w:pPr>
                  <w:r>
                    <w:t xml:space="preserve">In principle, the rules on insider dealing and market abuse remain applicable before, during and after a public takeover bid, albeit that during a takeover bid additional disclosures and restrictions apply in relation to trading in listed securities.</w:t>
                  </w:r>
                </w:p>
                <w:p>
                  <w:pPr>
                    <w:pStyle w:val="BodyText"/>
                  </w:pPr>
                  <w:r>
                    <w:rPr>
                      <w:b/>
                    </w:rPr>
                    <w:t xml:space="preserve">6.4 Common anti-takeover defense mechanisms</w:t>
                  </w:r>
                </w:p>
                <w:p>
                  <w:pPr>
                    <w:pStyle w:val="BodyText"/>
                  </w:pPr>
                  <w:r>
                    <w:t xml:space="preserve">As a general rule, the Takeover Act prohibits the management board of a target company from carrying out any actions that could prevent the success of an offer from the time of publication of a Takeover Decision or the acquisition of Control until the publication of the takeover result (no-frustration rule). Certain exceptions apply, notably for actions of an "ordinary and prudent" manager in the specific situation, actions with the approval of the supervisory board and actions based on an authorization by the general meeting.</w:t>
                  </w:r>
                </w:p>
                <w:p>
                  <w:pPr>
                    <w:pStyle w:val="BodyText"/>
                  </w:pPr>
                  <w:r>
                    <w:t xml:space="preserve">Despite the no-frustration rule, the management of a target company can use certain strategies to try to fend off a hostile takeover. The table below contains a summarized overview of the mechanisms that can be used by a German target company as a defense against a takeover bid. For some defense measures, there are (to some extent significant) concerns with respect to their legality (most often under general stock corporation law) and/or effectiveness. Hostile takeovers have been the exception in Germany so far. Therefore, defense measures are more often a matter of (controversial) discussion in legal literature than in practice. Except for a few individual cases, case-law dealing with defense measures is very rare.</w:t>
                  </w:r>
                </w:p>
                <w:tbl>
                  <w:pPr>
                    <w:pStyle w:val="BodyText"/>
                  </w:pPr>
                  <w:tblPr>
                    <w:tblStyle w:val="TableGrid"/>
                    <w:tblW w:w="15561" w:type="dxa"/>
                    <w:tblCellSpacing w:w="0" w:type="dxa"/>
                    <w:tblCellMar>
                      <w:top w:w="0" w:type="dxa"/>
                      <w:left w:w="0" w:type="dxa"/>
                      <w:bottom w:w="0" w:type="dxa"/>
                      <w:right w:w="0" w:type="dxa"/>
                    </w:tblCellMar>
                  </w:tblPr>
                  <w:tblGrid>
                    <w:gridCol/>
                    <w:gridCol/>
                  </w:tblGrid>
                  <w:tr>
                    <w:tc>
                      <w:tcPr>
                        <w:vAlign w:val="top"/>
                        <w:tcMar>
                          <w:right w:w="108" w:type="dxa"/>
                          <w:left w:w="108" w:type="dxa"/>
                        </w:tcMar>
                        <w:vAlign w:val="center"/>
                      </w:tcPr>
                      <w:p>
                        <w:pPr>
                          <w:jc w:val="left"/>
                          <w:spacing w:before="80"/>
                        </w:pPr>
                        <w:r>
                          <w:rPr>
                            <w:color w:val="FFFFFF"/>
                          </w:rPr>
                          <w:t xml:space="preserve">Mechanism</w:t>
                        </w:r>
                      </w:p>
                    </w:tc>
                    <w:tc>
                      <w:tcPr>
                        <w:vAlign w:val="top"/>
                        <w:tcMar>
                          <w:right w:w="108" w:type="dxa"/>
                          <w:left w:w="108" w:type="dxa"/>
                        </w:tcMar>
                        <w:vAlign w:val="center"/>
                      </w:tcPr>
                      <w:p>
                        <w:pPr>
                          <w:jc w:val="left"/>
                          <w:spacing w:before="80"/>
                        </w:pPr>
                        <w:r>
                          <w:rPr>
                            <w:color w:val="FFFFFF"/>
                          </w:rPr>
                          <w:t xml:space="preserve">Assessment and considerations</w:t>
                        </w:r>
                      </w:p>
                    </w:tc>
                  </w:tr>
                  <w:tr>
                    <w:tc>
                      <w:tcPr>
                        <w:vAlign w:val="top"/>
                        <w:tcMar>
                          <w:right w:w="108" w:type="dxa"/>
                          <w:left w:w="108" w:type="dxa"/>
                        </w:tcMar>
                        <w:vAlign w:val="center"/>
                      </w:tcPr>
                      <w:p>
                        <w:pPr>
                          <w:jc w:val="left"/>
                        </w:pPr>
                        <w:r>
                          <w:rPr>
                            <w:b/>
                          </w:rPr>
                          <w:t xml:space="preserve">1. Capital increase (poison pill)</w:t>
                        </w:r>
                      </w:p>
                      <w:p>
                        <w:pPr>
                          <w:spacing w:before="80"/>
                        </w:pPr>
                        <w:r>
                          <w:t xml:space="preserve">Capital increase from authorized capital with or without subscription rights of the shareholders, thereby making the bid more expensive.</w:t>
                        </w:r>
                      </w:p>
                    </w:tc>
                    <w:tc>
                      <w:tcPr>
                        <w:vAlign w:val="top"/>
                        <w:tcMar>
                          <w:right w:w="108" w:type="dxa"/>
                          <w:left w:w="108" w:type="dxa"/>
                        </w:tcMar>
                        <w:vAlign w:val="center"/>
                      </w:tcPr>
                      <w:p>
                        <w:pPr>
                          <w:jc w:val="left"/>
                          <w:numPr>
                            <w:ilvl w:val="0"/>
                            <w:numId w:val="12"/>
                          </w:numPr>
                        </w:pPr>
                        <w:r>
                          <w:t xml:space="preserve">Requires an express authorization in the articles of association. To be adopted, it must obtain a majority of 75% of the votes cast at a general shareholders' meeting.</w:t>
                        </w:r>
                      </w:p>
                      <w:p>
                        <w:pPr>
                          <w:pStyle w:val="ListParagraph"/>
                          <w:numPr>
                            <w:ilvl w:val="0"/>
                            <w:numId w:val="12"/>
                          </w:numPr>
                        </w:pPr>
                        <w:r>
                          <w:t xml:space="preserve">The authorization is valid for up to 5 years only, but can be renewed. The authorization may not exceed 50% of the existing share capital.</w:t>
                        </w:r>
                      </w:p>
                      <w:p>
                        <w:pPr>
                          <w:pStyle w:val="ListParagraph"/>
                          <w:numPr>
                            <w:ilvl w:val="0"/>
                            <w:numId w:val="12"/>
                          </w:numPr>
                        </w:pPr>
                        <w:r>
                          <w:t xml:space="preserve">If subscription rights of the shareholders are excluded, the capital increase may not exceed the lower of (i) 10% of the existing share capital or (ii) the amount remaining available under the authorized capital.</w:t>
                        </w:r>
                      </w:p>
                      <w:p>
                        <w:pPr>
                          <w:pStyle w:val="ListParagraph"/>
                          <w:numPr>
                            <w:ilvl w:val="0"/>
                            <w:numId w:val="12"/>
                          </w:numPr>
                        </w:pPr>
                        <w:r>
                          <w:t xml:space="preserve">The issue price may not be significantly below the current stock market price (in practice, this will usually be at or above the bid price).</w:t>
                        </w:r>
                      </w:p>
                      <w:p>
                        <w:pPr>
                          <w:pStyle w:val="ListParagraph"/>
                          <w:numPr>
                            <w:ilvl w:val="0"/>
                            <w:numId w:val="12"/>
                          </w:numPr>
                        </w:pPr>
                        <w:r>
                          <w:t xml:space="preserve">Capital increase from company reserves requires prior approval by general shareholders' meeting under German law. Might be used as defense mechanism in case of foreign incorporated company listed in Germany, e.g., Standard Industries/Braas Monier.</w:t>
                        </w:r>
                      </w:p>
                      <w:p>
                        <w:pPr>
                          <w:pStyle w:val="ListParagraph"/>
                          <w:numPr>
                            <w:ilvl w:val="0"/>
                            <w:numId w:val="12"/>
                          </w:numPr>
                        </w:pPr>
                        <w:r>
                          <w:t xml:space="preserve">It is not permissible to treat the shareholding, if any, of the Bidder differently from the holdings of other shareholders.</w:t>
                        </w:r>
                      </w:p>
                    </w:tc>
                  </w:tr>
                  <w:tr>
                    <w:tc>
                      <w:tcPr>
                        <w:vAlign w:val="top"/>
                        <w:tcMar>
                          <w:right w:w="108" w:type="dxa"/>
                          <w:left w:w="108" w:type="dxa"/>
                        </w:tcMar>
                        <w:vAlign w:val="center"/>
                      </w:tcPr>
                      <w:p>
                        <w:pPr>
                          <w:jc w:val="left"/>
                        </w:pPr>
                        <w:r>
                          <w:rPr>
                            <w:b/>
                          </w:rPr>
                          <w:t xml:space="preserve">2. Share buyback</w:t>
                        </w:r>
                      </w:p>
                    </w:tc>
                    <w:tc>
                      <w:tcPr>
                        <w:vAlign w:val="top"/>
                        <w:tcMar>
                          <w:right w:w="108" w:type="dxa"/>
                          <w:left w:w="108" w:type="dxa"/>
                        </w:tcMar>
                        <w:vAlign w:val="center"/>
                      </w:tcPr>
                      <w:p>
                        <w:pPr>
                          <w:jc w:val="left"/>
                          <w:numPr>
                            <w:ilvl w:val="0"/>
                            <w:numId w:val="13"/>
                          </w:numPr>
                        </w:pPr>
                        <w:r>
                          <w:t xml:space="preserve">Uncommon defense mechanism. Share buyback needs to be in accordance with statutory rules, which define very limited cases.</w:t>
                        </w:r>
                      </w:p>
                      <w:p>
                        <w:pPr>
                          <w:pStyle w:val="ListParagraph"/>
                          <w:numPr>
                            <w:ilvl w:val="0"/>
                            <w:numId w:val="13"/>
                          </w:numPr>
                        </w:pPr>
                        <w:r>
                          <w:t xml:space="preserve">Most common case is an express authorization by a general shareholders' meeting.</w:t>
                        </w:r>
                      </w:p>
                      <w:p>
                        <w:pPr>
                          <w:pStyle w:val="ListParagraph"/>
                          <w:numPr>
                            <w:ilvl w:val="0"/>
                            <w:numId w:val="13"/>
                          </w:numPr>
                        </w:pPr>
                        <w:r>
                          <w:t xml:space="preserve">The authorization is valid for up to 5 years only, but can be renewed.</w:t>
                        </w:r>
                      </w:p>
                      <w:p>
                        <w:pPr>
                          <w:pStyle w:val="ListParagraph"/>
                          <w:numPr>
                            <w:ilvl w:val="0"/>
                            <w:numId w:val="13"/>
                          </w:numPr>
                        </w:pPr>
                        <w:r>
                          <w:t xml:space="preserve">The total of directly and indirectly acquired shares may not exceed 10% of the existing share capital.</w:t>
                        </w:r>
                      </w:p>
                      <w:p>
                        <w:pPr>
                          <w:pStyle w:val="ListParagraph"/>
                          <w:numPr>
                            <w:ilvl w:val="0"/>
                            <w:numId w:val="13"/>
                          </w:numPr>
                        </w:pPr>
                        <w:r>
                          <w:t xml:space="preserve">Share buybacks may also facilitate bids. (Note further that the target company may be deemed to act in concert with the bidder in which case there would be minimum price implications.)</w:t>
                        </w:r>
                      </w:p>
                    </w:tc>
                  </w:tr>
                  <w:tr>
                    <w:tc>
                      <w:tcPr>
                        <w:vAlign w:val="top"/>
                        <w:tcMar>
                          <w:right w:w="108" w:type="dxa"/>
                          <w:left w:w="108" w:type="dxa"/>
                        </w:tcMar>
                        <w:vAlign w:val="center"/>
                      </w:tcPr>
                      <w:p>
                        <w:pPr>
                          <w:jc w:val="left"/>
                        </w:pPr>
                        <w:r>
                          <w:rPr>
                            <w:b/>
                          </w:rPr>
                          <w:t xml:space="preserve">3. Sale of crown jewels/ Asset lockup</w:t>
                        </w:r>
                      </w:p>
                      <w:p>
                        <w:pPr>
                          <w:spacing w:before="80"/>
                        </w:pPr>
                        <w:r>
                          <w:t xml:space="preserve">An arrangement affecting the assets of or creating a liability for the company which is triggered by a change in control or the launch of a takeover bid or creating obstacles for the Bidder under merger control law by making an asset unsellable.</w:t>
                        </w:r>
                      </w:p>
                    </w:tc>
                    <w:tc>
                      <w:tcPr>
                        <w:vAlign w:val="top"/>
                        <w:tcMar>
                          <w:right w:w="108" w:type="dxa"/>
                          <w:left w:w="108" w:type="dxa"/>
                        </w:tcMar>
                        <w:vAlign w:val="center"/>
                      </w:tcPr>
                      <w:p>
                        <w:pPr>
                          <w:jc w:val="left"/>
                          <w:numPr>
                            <w:ilvl w:val="0"/>
                            <w:numId w:val="14"/>
                          </w:numPr>
                        </w:pPr>
                        <w:r>
                          <w:t xml:space="preserve">Measure has to be in the best interest of company, and not in breach of the no-frustration rule.</w:t>
                        </w:r>
                      </w:p>
                    </w:tc>
                  </w:tr>
                  <w:tr>
                    <w:tc>
                      <w:tcPr>
                        <w:vAlign w:val="top"/>
                        <w:tcMar>
                          <w:right w:w="108" w:type="dxa"/>
                          <w:left w:w="108" w:type="dxa"/>
                        </w:tcMar>
                        <w:vAlign w:val="center"/>
                      </w:tcPr>
                      <w:p>
                        <w:pPr>
                          <w:jc w:val="left"/>
                        </w:pPr>
                        <w:r>
                          <w:rPr>
                            <w:b/>
                          </w:rPr>
                          <w:t xml:space="preserve">4. Convertibles/Options/ Warrants on new shares</w:t>
                        </w:r>
                      </w:p>
                      <w:p>
                        <w:pPr>
                          <w:spacing w:before="80"/>
                        </w:pPr>
                        <w:r>
                          <w:t xml:space="preserve">Convertibles/Options/ Warrants are issued prior to the takeover bid in favor of "friendly person(s)" (without subscription rights of the shareholders) who can exercise their rights and subscribe for new shares.</w:t>
                        </w:r>
                      </w:p>
                    </w:tc>
                    <w:tc>
                      <w:tcPr>
                        <w:vAlign w:val="top"/>
                        <w:tcMar>
                          <w:right w:w="108" w:type="dxa"/>
                          <w:left w:w="108" w:type="dxa"/>
                        </w:tcMar>
                        <w:vAlign w:val="center"/>
                      </w:tcPr>
                      <w:p>
                        <w:pPr>
                          <w:jc w:val="left"/>
                          <w:numPr>
                            <w:ilvl w:val="0"/>
                            <w:numId w:val="15"/>
                          </w:numPr>
                        </w:pPr>
                        <w:r>
                          <w:t xml:space="preserve">Generally requires a prior approval by a majority of 75% of the votes cast at a general shareholders' meeting (unless articles provide for 50% majority, which is possible in some cases, but not if subscription rights are excluded).</w:t>
                        </w:r>
                      </w:p>
                      <w:p>
                        <w:pPr>
                          <w:pStyle w:val="ListParagraph"/>
                          <w:numPr>
                            <w:ilvl w:val="0"/>
                            <w:numId w:val="15"/>
                          </w:numPr>
                        </w:pPr>
                        <w:r>
                          <w:t xml:space="preserve">If subscription rights are excluded, the rights to acquire new shares may not exceed 10% of the existing share capital.</w:t>
                        </w:r>
                      </w:p>
                      <w:p>
                        <w:pPr>
                          <w:pStyle w:val="ListParagraph"/>
                          <w:numPr>
                            <w:ilvl w:val="0"/>
                            <w:numId w:val="15"/>
                          </w:numPr>
                        </w:pPr>
                        <w:r>
                          <w:t xml:space="preserve">The exercise price has to be determined when the rights are issued in accordance with applicable rules.</w:t>
                        </w:r>
                      </w:p>
                    </w:tc>
                  </w:tr>
                  <w:tr>
                    <w:tc>
                      <w:tcPr>
                        <w:vAlign w:val="top"/>
                        <w:tcMar>
                          <w:right w:w="108" w:type="dxa"/>
                          <w:left w:w="108" w:type="dxa"/>
                        </w:tcMar>
                        <w:vAlign w:val="center"/>
                      </w:tcPr>
                      <w:p>
                        <w:pPr>
                          <w:jc w:val="left"/>
                        </w:pPr>
                        <w:r>
                          <w:rPr>
                            <w:b/>
                          </w:rPr>
                          <w:t xml:space="preserve">5. Other frustrating actions</w:t>
                        </w:r>
                      </w:p>
                      <w:p>
                        <w:pPr>
                          <w:spacing w:before="80"/>
                        </w:pPr>
                        <w:r>
                          <w:t xml:space="preserve">Actions such as significant acquisitions, disposals, changes in indebtedness, etc.</w:t>
                        </w:r>
                      </w:p>
                    </w:tc>
                    <w:tc>
                      <w:tcPr>
                        <w:vAlign w:val="top"/>
                        <w:tcMar>
                          <w:right w:w="108" w:type="dxa"/>
                          <w:left w:w="108" w:type="dxa"/>
                        </w:tcMar>
                        <w:vAlign w:val="center"/>
                      </w:tcPr>
                      <w:p>
                        <w:pPr>
                          <w:jc w:val="left"/>
                          <w:numPr>
                            <w:ilvl w:val="0"/>
                            <w:numId w:val="16"/>
                          </w:numPr>
                        </w:pPr>
                        <w:r>
                          <w:t xml:space="preserve">Measure has to be in the best interest of the company, and not in breach of the no-frustration rule.</w:t>
                        </w:r>
                      </w:p>
                    </w:tc>
                  </w:tr>
                  <w:tr>
                    <w:tc>
                      <w:tcPr>
                        <w:vAlign w:val="top"/>
                        <w:tcMar>
                          <w:right w:w="108" w:type="dxa"/>
                          <w:left w:w="108" w:type="dxa"/>
                        </w:tcMar>
                        <w:vAlign w:val="center"/>
                      </w:tcPr>
                      <w:p>
                        <w:pPr>
                          <w:jc w:val="left"/>
                        </w:pPr>
                        <w:r>
                          <w:rPr>
                            <w:b/>
                          </w:rPr>
                          <w:t xml:space="preserve">6. Shareholders' agreements</w:t>
                        </w:r>
                      </w:p>
                      <w:p>
                        <w:pPr>
                          <w:spacing w:before="80"/>
                        </w:pPr>
                        <w:r>
                          <w:t xml:space="preserve">Shareholders undertake to (consult with a view to) vote their shares in accordance with terms agreed among them.</w:t>
                        </w:r>
                      </w:p>
                    </w:tc>
                    <w:tc>
                      <w:tcPr>
                        <w:vAlign w:val="top"/>
                        <w:tcMar>
                          <w:right w:w="108" w:type="dxa"/>
                          <w:left w:w="108" w:type="dxa"/>
                        </w:tcMar>
                        <w:vAlign w:val="center"/>
                      </w:tcPr>
                      <w:p>
                        <w:pPr>
                          <w:jc w:val="left"/>
                          <w:numPr>
                            <w:ilvl w:val="0"/>
                            <w:numId w:val="17"/>
                          </w:numPr>
                        </w:pPr>
                        <w:r>
                          <w:t xml:space="preserve">The shareholders are likely to be considered as "acting in concert". If so, disclosure obligations apply and, if the participating shareholders jointly hold more than 30% of voting rights, an obligation to launch a mandatory bid may be triggered, depending on the scope of the agreement.</w:t>
                        </w:r>
                      </w:p>
                      <w:p>
                        <w:pPr>
                          <w:pStyle w:val="ListParagraph"/>
                          <w:numPr>
                            <w:ilvl w:val="0"/>
                            <w:numId w:val="17"/>
                          </w:numPr>
                        </w:pPr>
                        <w:r>
                          <w:t xml:space="preserve">Assumes a stable shareholder base or reference shareholders.</w:t>
                        </w:r>
                      </w:p>
                    </w:tc>
                  </w:tr>
                  <w:tr>
                    <w:tc>
                      <w:tcPr>
                        <w:vAlign w:val="top"/>
                        <w:tcMar>
                          <w:right w:w="108" w:type="dxa"/>
                          <w:left w:w="108" w:type="dxa"/>
                        </w:tcMar>
                        <w:vAlign w:val="center"/>
                      </w:tcPr>
                      <w:p>
                        <w:pPr>
                          <w:jc w:val="left"/>
                        </w:pPr>
                        <w:r>
                          <w:rPr>
                            <w:b/>
                          </w:rPr>
                          <w:t xml:space="preserve">7. Search for a competing Bidder (a "white knight") or an anchor shareholder who agrees not to tender its shares in the bid ("white squire")</w:t>
                        </w:r>
                      </w:p>
                    </w:tc>
                    <w:tc>
                      <w:tcPr>
                        <w:vAlign w:val="top"/>
                        <w:tcMar>
                          <w:right w:w="108" w:type="dxa"/>
                          <w:left w:w="108" w:type="dxa"/>
                        </w:tcMar>
                        <w:vAlign w:val="center"/>
                      </w:tcPr>
                      <w:p>
                        <w:pPr>
                          <w:jc w:val="left"/>
                          <w:numPr>
                            <w:ilvl w:val="0"/>
                            <w:numId w:val="18"/>
                          </w:numPr>
                        </w:pPr>
                        <w:r>
                          <w:t xml:space="preserve">Generally admissible, since adding another Bidder enables the target to guarantee the most favorable terms of offer in the best interest of all shareholders.</w:t>
                        </w:r>
                      </w:p>
                      <w:p>
                        <w:pPr>
                          <w:pStyle w:val="ListParagraph"/>
                          <w:numPr>
                            <w:ilvl w:val="0"/>
                            <w:numId w:val="18"/>
                          </w:numPr>
                        </w:pPr>
                        <w:r>
                          <w:t xml:space="preserve">Further actions to enhance the success of the competing offer are inadmissible. It is, for example, not normally admissible to issue shares from the authorized capital, excluding the subscription right, as a "jump start" for the competing Bidder or "white squire". Financial assistance rules under stock corporation law prohibit the granting of financial support to the "white knight" or "white squire" for the acquisition of shares.</w:t>
                        </w:r>
                      </w:p>
                    </w:tc>
                  </w:tr>
                  <w:tr>
                    <w:tc>
                      <w:tcPr>
                        <w:vAlign w:val="top"/>
                        <w:tcMar>
                          <w:right w:w="108" w:type="dxa"/>
                          <w:left w:w="108" w:type="dxa"/>
                        </w:tcMar>
                        <w:vAlign w:val="center"/>
                      </w:tcPr>
                      <w:p>
                        <w:pPr>
                          <w:jc w:val="left"/>
                        </w:pPr>
                        <w:r>
                          <w:rPr>
                            <w:b/>
                          </w:rPr>
                          <w:t xml:space="preserve">8. Limitations on share transfers</w:t>
                        </w:r>
                      </w:p>
                      <w:p>
                        <w:pPr>
                          <w:spacing w:before="80"/>
                        </w:pPr>
                        <w:r>
                          <w:t xml:space="preserve">Board approval or pre-emptive restriction clauses in the articles of association or in agreements between shareholders.</w:t>
                        </w:r>
                      </w:p>
                    </w:tc>
                    <w:tc>
                      <w:tcPr>
                        <w:vAlign w:val="top"/>
                        <w:tcMar>
                          <w:right w:w="108" w:type="dxa"/>
                          <w:left w:w="108" w:type="dxa"/>
                        </w:tcMar>
                        <w:vAlign w:val="center"/>
                      </w:tcPr>
                      <w:p>
                        <w:pPr>
                          <w:jc w:val="left"/>
                          <w:numPr>
                            <w:ilvl w:val="0"/>
                            <w:numId w:val="19"/>
                          </w:numPr>
                        </w:pPr>
                        <w:r>
                          <w:t xml:space="preserve">Very exceptional for listed companies (listed securities are in principle freely transferable; impact on share liquidity).</w:t>
                        </w:r>
                      </w:p>
                      <w:p>
                        <w:pPr>
                          <w:pStyle w:val="ListParagraph"/>
                          <w:numPr>
                            <w:ilvl w:val="0"/>
                            <w:numId w:val="19"/>
                          </w:numPr>
                        </w:pPr>
                        <w:r>
                          <w:t xml:space="preserve">Almost impossible to implement after the company has obtained its listing.</w:t>
                        </w:r>
                      </w:p>
                    </w:tc>
                  </w:tr>
                  <w:tr>
                    <w:tc>
                      <w:tcPr>
                        <w:vAlign w:val="top"/>
                        <w:tcMar>
                          <w:right w:w="108" w:type="dxa"/>
                          <w:left w:w="108" w:type="dxa"/>
                        </w:tcMar>
                        <w:vAlign w:val="center"/>
                      </w:tcPr>
                      <w:p>
                        <w:pPr>
                          <w:jc w:val="left"/>
                        </w:pPr>
                        <w:r>
                          <w:rPr>
                            <w:b/>
                          </w:rPr>
                          <w:t xml:space="preserve">9. Complication of obtaining control of supervisory board</w:t>
                        </w:r>
                      </w:p>
                      <w:p>
                        <w:pPr>
                          <w:spacing w:before="80"/>
                        </w:pPr>
                        <w:r>
                          <w:t xml:space="preserve">Rights for individual shareholders to appoint supervisory board members, staggered terms of office of board members.</w:t>
                        </w:r>
                      </w:p>
                    </w:tc>
                    <w:tc>
                      <w:tcPr>
                        <w:vAlign w:val="top"/>
                        <w:tcMar>
                          <w:right w:w="108" w:type="dxa"/>
                          <w:left w:w="108" w:type="dxa"/>
                        </w:tcMar>
                        <w:vAlign w:val="center"/>
                      </w:tcPr>
                      <w:p>
                        <w:pPr>
                          <w:jc w:val="left"/>
                          <w:numPr>
                            <w:ilvl w:val="0"/>
                            <w:numId w:val="20"/>
                          </w:numPr>
                        </w:pPr>
                        <w:r>
                          <w:t xml:space="preserve">Supervisory board nomination right exceptional for listed companies.</w:t>
                        </w:r>
                      </w:p>
                      <w:p>
                        <w:pPr>
                          <w:pStyle w:val="ListParagraph"/>
                          <w:numPr>
                            <w:ilvl w:val="0"/>
                            <w:numId w:val="20"/>
                          </w:numPr>
                        </w:pPr>
                        <w:r>
                          <w:t xml:space="preserve">A staggered board is common, but supervisory board members can be removed in a general meeting with 75% majority (may be reduced to 50% majority in the articles of association).</w:t>
                        </w:r>
                      </w:p>
                    </w:tc>
                  </w:tr>
                </w:tbl>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Squeeze-out of Minority Shareholders after Completion of the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Squeeze-out of Minority Shareholders after Completion of the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7.1 Squeeze-out</w:t>
                  </w:r>
                </w:p>
                <w:p>
                  <w:pPr>
                    <w:pStyle w:val="BodyText"/>
                  </w:pPr>
                  <w:r>
                    <w:t xml:space="preserve">If, following the takeover bid or at a later stage, the Bidder holds 95% or 90% of all voting rights, they can initiate a squeeze-out procedure. German law provides three different squeeze-out procedures, namely under the Takeover Act, under the Stock Corporation Act and under the Transformation Act (a so-called 'merger squeeze-out'). The rules applicable to each procedure differ, except that for all procedures the shares of all other shareholders are transferred to the Bidder in exchange for cash compensation.</w:t>
                  </w:r>
                </w:p>
                <w:p>
                  <w:pPr>
                    <w:pStyle w:val="BodyText"/>
                  </w:pPr>
                  <w:r>
                    <w:t xml:space="preserve">If, following a takeover bid, the Bidder holds at least 95% of all voting rights, they can initiate a squeeze-out procedure under the Takeover Act. In this case, the squeeze-out will need to be applied for in a court of law and shall be decided by way of a court decree. A significant advantage of a squeeze-out under the Takeover Act is that in some cases the amount of compensation to be paid to the minority shareholders is equal to the offer price. The compensation is deemed to be adequate if at least 90% of the shares that were subject to the offer have been tendered. Such threshold of 90% of shares subject to the offer has in practice not been reached except in one rather unusual transaction. If the 90% target is not met, it is not recommended to use the post-takeover squeeze-out procedure because of the need to establish the amount of compensation by way of expert valuation reports. These valuations are prone to challenge from minority shareholders, so that considerable delays are to be expected. A pending post-takeover squeeze out procedure in court will also block all other methods of squeezing out the shareholders.</w:t>
                  </w:r>
                </w:p>
                <w:p>
                  <w:pPr>
                    <w:pStyle w:val="BodyText"/>
                  </w:pPr>
                  <w:r>
                    <w:t xml:space="preserve">For a squeeze-out under the Stock Corporation Act, the major shareholder must send a squeeze-out demand to the management of the target company. While the target company must prepare a general meeting in which the shareholders will vote on the squeeze out, it is the shareholder who has to prepare a specific report in anticipation of the general meeting and the "fairness", of the compensation has to be reviewed and confirmed in a report prepared by an independent auditor appointed by the court. Dissenting minority shareholders may successfully block the effectiveness of the squeeze-out by court action at least for some time, and may claim for higher compensation.</w:t>
                  </w:r>
                </w:p>
                <w:p>
                  <w:pPr>
                    <w:pStyle w:val="BodyText"/>
                  </w:pPr>
                  <w:r>
                    <w:t xml:space="preserve">A 'merger squeeze-out' under the Transformation Act has the advantage that the majority shareholder can implement a squeeze-out with a holding of only 90% or more of the registered capital. The squeeze-out under the Transformation Act is subject to the condition that it is implemented in connection with a statutory merger (</w:t>
                  </w:r>
                  <w:r>
                    <w:rPr>
                      <w:i/>
                    </w:rPr>
                    <w:t xml:space="preserve">Verschmelzung</w:t>
                  </w:r>
                  <w:r>
                    <w:t xml:space="preserve">) between the majority shareholder and the target, meaning that the shareholder resolution on the squeeze- out has to be adopted within three months of the signing of the merger agreement. Furthermore, the squeeze-out under the Transformation Act is only possible if the majority shareholder is a German stock corporation (</w:t>
                  </w:r>
                  <w:r>
                    <w:rPr>
                      <w:i/>
                    </w:rPr>
                    <w:t xml:space="preserve">Aktiengesellschaft</w:t>
                  </w:r>
                  <w:r>
                    <w:t xml:space="preserve">), a German partnership limited by shares (KGaA) or a European stock corporation (SE). Such legal form of the majority shareholder can easily be achieved though, with the relevant corporate actions.</w:t>
                  </w:r>
                </w:p>
                <w:p>
                  <w:pPr>
                    <w:pStyle w:val="BodyText"/>
                  </w:pPr>
                  <w:r>
                    <w:rPr>
                      <w:b/>
                    </w:rPr>
                    <w:t xml:space="preserve">7.2 Sell-out</w:t>
                  </w:r>
                </w:p>
                <w:p>
                  <w:pPr>
                    <w:pStyle w:val="BodyText"/>
                  </w:pPr>
                  <w:r>
                    <w:t xml:space="preserve">If a Bidder was to be permitted to carry out a squeeze-out under the Takeover Act, i.e. the 95% post-bid ownership referred to in 7.1, the security holders that did not accept the takeover bid shall </w:t>
                  </w:r>
                  <w:r>
                    <w:t xml:space="preserve">have the right to continue to accept the offer within an additional period of three months after the end of the acceptance period. The relevant provision has not really been used in practice yet.</w:t>
                  </w:r>
                </w:p>
                <w:p>
                  <w:pPr>
                    <w:pStyle w:val="BodyText"/>
                  </w:pPr>
                  <w:r>
                    <w:rPr>
                      <w:b/>
                    </w:rPr>
                    <w:t xml:space="preserve">7.3 Restrictions on acquiring securities after the takeover bid period</w:t>
                  </w:r>
                </w:p>
                <w:p>
                  <w:pPr>
                    <w:pStyle w:val="BodyText"/>
                  </w:pPr>
                  <w:r>
                    <w:t xml:space="preserve">If the Bidder and the persons acting in concert with the Bidder (i) directly or indirectly acquire any securities that were subject to the takeover bid in an "off-market" transaction (ii) during the period of one year following the end of the takeover bid period (iii) for a consideration which is higher than the consideration offered in the takeover bid, the price difference will have to be paid to all security holders that tendered their securities to the Bidder during the original takeover bid period.</w:t>
                  </w:r>
                </w:p>
                <w:p>
                  <w:pPr>
                    <w:pStyle w:val="BodyText"/>
                  </w:pPr>
                  <w:r>
                    <w:rPr>
                      <w:b/>
                    </w:rPr>
                    <w:t xml:space="preserve">7.4 Domination agreements/Profit and loss pooling agreements</w:t>
                  </w:r>
                </w:p>
                <w:p>
                  <w:pPr>
                    <w:pStyle w:val="BodyText"/>
                  </w:pPr>
                  <w:r>
                    <w:t xml:space="preserve">If the requirements for a squeeze-out are not fulfilled, a common post- offer integration measure under German law is a domination agreement which may be entered into between the Bidder and the target company. The target company becomes a "dependent company" dominated by the Bidder who can give binding instructions which have to be followed by the management of the dependent company.</w:t>
                  </w:r>
                </w:p>
                <w:p>
                  <w:pPr>
                    <w:pStyle w:val="BodyText"/>
                  </w:pPr>
                  <w:r>
                    <w:t xml:space="preserve">From the Bidder's perspective the main advantage of such binding instructions is that the strict standards of the maintenance of capital set out by the German Stock Corporation Act are reduced. Once the domination agreement has become effective, the Bidder has far more options for refinancing the prior offer.</w:t>
                  </w:r>
                </w:p>
                <w:p>
                  <w:pPr>
                    <w:pStyle w:val="BodyText"/>
                  </w:pPr>
                  <w:r>
                    <w:t xml:space="preserve">In particular, in simplified terms, all cashflow can be up-streamed to the level of the bidder company to pay interest and repay the acquisition debt and the target company can give additional collateral to the banks financing the bid. As the dominating shareholder, the Bidder may also enter into non-arms-length intragroup agreements with the target company as long as this is in the best interests of the overall group.</w:t>
                  </w:r>
                </w:p>
                <w:p>
                  <w:pPr>
                    <w:pStyle w:val="BodyText"/>
                  </w:pPr>
                  <w:r>
                    <w:t xml:space="preserve">Before a domination agreement becomes effective (with its registration at the commercial register of the dependent company), the following major steps are required:</w:t>
                  </w:r>
                </w:p>
                <w:p>
                  <w:pPr>
                    <w:pStyle w:val="BodyText"/>
                  </w:pPr>
                  <w:pPr>
                    <w:pStyle w:val="ListParagraph"/>
                    <w:numPr>
                      <w:ilvl w:val="0"/>
                      <w:numId w:val="10"/>
                    </w:numPr>
                  </w:pPr>
                  <w:r>
                    <w:t xml:space="preserve">A shareholder resolution by the shareholders of the target company with at least a 75% majority of the share capital represented at the shareholders' meeting.</w:t>
                  </w:r>
                </w:p>
                <w:p>
                  <w:pPr>
                    <w:pStyle w:val="BodyText"/>
                  </w:pPr>
                  <w:pPr>
                    <w:pStyle w:val="ListParagraph"/>
                    <w:numPr>
                      <w:ilvl w:val="0"/>
                      <w:numId w:val="10"/>
                    </w:numPr>
                  </w:pPr>
                  <w:r>
                    <w:t xml:space="preserve">The domination agreement has to include an offer to acquire the shares of the target company which are held by minority shareholders against payment of a fair compensation. If the dominating shareholder is not a German stock corporation, the compensation must be paid in cash.</w:t>
                  </w:r>
                </w:p>
                <w:p>
                  <w:pPr>
                    <w:pStyle w:val="BodyText"/>
                  </w:pPr>
                  <w:pPr>
                    <w:pStyle w:val="ListParagraph"/>
                    <w:numPr>
                      <w:ilvl w:val="0"/>
                      <w:numId w:val="10"/>
                    </w:numPr>
                  </w:pPr>
                  <w:r>
                    <w:t xml:space="preserve">The dominating shareholder has to pay a guarantee dividend to the remaining minority shareholders of the target company as long as they remain shareholders.</w:t>
                  </w:r>
                </w:p>
                <w:p>
                  <w:pPr>
                    <w:pStyle w:val="BodyText"/>
                  </w:pPr>
                  <w:pPr>
                    <w:pStyle w:val="ListParagraph"/>
                    <w:numPr>
                      <w:ilvl w:val="0"/>
                      <w:numId w:val="10"/>
                    </w:numPr>
                  </w:pPr>
                  <w:r>
                    <w:t xml:space="preserve">During the term of the domination agreement the dominating shareholder has to compensate the target company for any annual loss it suffers.</w:t>
                  </w:r>
                </w:p>
                <w:p>
                  <w:pPr>
                    <w:pStyle w:val="BodyText"/>
                  </w:pPr>
                  <w:r>
                    <w:t xml:space="preserve">In addition to a domination agreement, a profit and loss pooling agreement may be entered into. It is concluded the same way as a domination agreement and is usually agreed upon at the same time. The legal consequences of a profit and loss pooling agreement are similar to those of a domination agreement. The main advantage of entering into a separate profit and loss pooling agreement is the creation of a fiscal unity for tax purposes.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Delisting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Voluntary delisting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A voluntary delisting is only admissible if an unconditional offer is made to all remaining shareholders to sell their shares at a certain minimum price (in cash) prior to the implementation of the delisting (see section 4.4 above for further information on delisting bids).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Manuel </w:t>
                  </w:r>
                  <w:r>
                    <w:rPr>
                      <w:color w:val="000000"/>
                    </w:rPr>
                    <w:t xml:space="preserve">Metzner</w:t>
                  </w:r>
                  <w:r>
                    <w:t xml:space="preserve"> and Christoph Wolf in Frankfurt and Dirk Horcher in Munich are the most appropriate contacts within Baker McKenzie for inquiries about public M&amp;A in Germany.</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18"/>
    <w:lvlOverride w:ilvl="0">
      <w:startOverride w:val="1"/>
    </w:lvlOverride>
  </w:num>
  <w:num w:numId="20">
    <w:abstractNumId w:val="18"/>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34"/>
    <w:lvlOverride w:ilvl="0">
      <w:startOverride w:val="1"/>
    </w:lvlOverride>
  </w:num>
  <w:num w:numId="27">
    <w:abstractNumId w:val="34"/>
    <w:lvlOverride w:ilvl="0">
      <w:startOverride w:val="1"/>
    </w:lvlOverride>
  </w:num>
  <w:num w:numId="28">
    <w:abstractNumId w:val="34"/>
    <w:lvlOverride w:ilvl="0">
      <w:startOverride w:val="1"/>
    </w:lvlOverride>
  </w:num>
  <w:num w:numId="29">
    <w:abstractNumId w:val="34"/>
    <w:lvlOverride w:ilvl="0">
      <w:startOverride w:val="1"/>
    </w:lvlOverride>
  </w:num>
  <w:num w:numId="30">
    <w:abstractNumId w:val="34"/>
    <w:lvlOverride w:ilvl="0">
      <w:startOverride w:val="1"/>
    </w:lvlOverride>
  </w:num>
  <w:num w:numId="31">
    <w:abstractNumId w:val="34"/>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42"/>
    <w:lvlOverride w:ilvl="0">
      <w:startOverride w:val="1"/>
    </w:lvlOverride>
  </w:num>
  <w:num w:numId="39">
    <w:abstractNumId w:val="42"/>
    <w:lvlOverride w:ilvl="0">
      <w:startOverride w:val="1"/>
    </w:lvlOverride>
  </w:num>
  <w:num w:numId="40">
    <w:abstractNumId w:val="50"/>
    <w:lvlOverride w:ilvl="0">
      <w:startOverride w:val="1"/>
    </w:lvlOverride>
  </w:num>
  <w:num w:numId="41">
    <w:abstractNumId w:val="54"/>
    <w:lvlOverride w:ilvl="0">
      <w:startOverride w:val="1"/>
    </w:lvlOverride>
  </w:num>
  <w:num w:numId="42">
    <w:abstractNumId w:val="54"/>
    <w:lvlOverride w:ilvl="0">
      <w:startOverride w:val="1"/>
    </w:lvlOverride>
  </w:num>
  <w:num w:numId="43">
    <w:abstractNumId w:val="56"/>
    <w:lvlOverride w:ilvl="0">
      <w:startOverride w:val="1"/>
    </w:lvlOverride>
  </w:num>
  <w:num w:numId="44">
    <w:abstractNumId w:val="50"/>
    <w:lvlOverride w:ilvl="0">
      <w:startOverride w:val="1"/>
    </w:lvlOverride>
  </w:num>
  <w:num w:numId="45">
    <w:abstractNumId w:val="50"/>
    <w:lvlOverride w:ilvl="0">
      <w:startOverride w:val="1"/>
    </w:lvlOverride>
  </w:num>
  <w:num w:numId="46">
    <w:abstractNumId w:val="50"/>
    <w:lvlOverride w:ilvl="0">
      <w:startOverride w:val="1"/>
    </w:lvlOverride>
  </w:num>
  <w:num w:numId="47">
    <w:abstractNumId w:val="5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global-public-ma-handbook/files/2025-version/updated_timeline_germany.pdf?rev=ce8dde510c5b4175b326fc177d12b7bd&amp;sc_lang=en" TargetMode="External" Id="R7e5f385f47ed45e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