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Egypt</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Egypt</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Finalizing due diligence before execution of the acquisition agreement is market practice in Egypt. A due diligence exercise would usually cover corporate structure, licenses and permits, property titles, regulatory, tax, labor and social security compliance, material contracts, change of control provisions, material IP and IT, litigation and environmental matters.</w:t>
                  </w:r>
                </w:p>
                <w:p>
                  <w:pPr>
                    <w:pStyle w:val="BodyText"/>
                  </w:pPr>
                  <w:r>
                    <w:t xml:space="preserve">Typically, issues highlighted during the diligence process are dealt with as matters to be rectified by the seller as a condition precedent to closing, by a purchase price reduction, by indemnities given by the seller or by putting in place escrow arrangements or deferred payment mechanisms.</w:t>
                  </w:r>
                </w:p>
                <w:p>
                  <w:pPr>
                    <w:pStyle w:val="BodyText"/>
                  </w:pPr>
                  <w:r>
                    <w:rPr>
                      <w:b/>
                    </w:rPr>
                    <w:t xml:space="preserve">Pricing and payment</w:t>
                  </w:r>
                </w:p>
                <w:p>
                  <w:pPr>
                    <w:pStyle w:val="BodyText"/>
                  </w:pPr>
                  <w:r>
                    <w:t xml:space="preserve">The Financial Regulatory Authority (FRA) requires that the purchase price of shares, for both listed and unlisted shares of a joint stock company (the most commonly used business vehicle in Egypt), is deposited in an Egyptian bank if the transaction: (i) exceeds EGP 100,000; or (ii) the seller and/or the buyer is a non-Egyptian entity, or a foreigner.</w:t>
                  </w:r>
                </w:p>
                <w:p>
                  <w:pPr>
                    <w:pStyle w:val="BodyText"/>
                  </w:pPr>
                  <w:r>
                    <w:t xml:space="preserve">Payment must be effected through the Egyptian Exchange (EGX), using a broker licensed by the FRA. The EGX accept either of the following two mechanisms for settlement of the purchase price:</w:t>
                  </w:r>
                </w:p>
                <w:p>
                  <w:pPr>
                    <w:pStyle w:val="BodyText"/>
                  </w:pPr>
                  <w:pPr>
                    <w:pStyle w:val="ListParagraph"/>
                    <w:numPr>
                      <w:ilvl w:val="0"/>
                      <w:numId w:val="13"/>
                    </w:numPr>
                  </w:pPr>
                  <w:r>
                    <w:t xml:space="preserve">The purchase price is deposited in the broker's Egyptian bank account. The broker then transfers the purchase price to the seller's bank account once the share transfer has taken place through the EGX.</w:t>
                  </w:r>
                </w:p>
                <w:p>
                  <w:pPr>
                    <w:pStyle w:val="BodyText"/>
                  </w:pPr>
                  <w:pPr>
                    <w:pStyle w:val="ListParagraph"/>
                    <w:numPr>
                      <w:ilvl w:val="0"/>
                      <w:numId w:val="13"/>
                    </w:numPr>
                  </w:pPr>
                  <w:r>
                    <w:t xml:space="preserve">The purchase price is deposited in the seller's Egyptian bank account directly. The FRA regulations allow for this mechanism if the purchase price is deposited within one month, at most, before submitting a request for the share transfer, provided that the respective bank issues a certificate addressed to the EGX and the FRA confirming receipt of the purchase price, and its use being solely to fund the acquisition of the underlying shares.</w:t>
                  </w:r>
                </w:p>
                <w:p>
                  <w:pPr>
                    <w:pStyle w:val="BodyText"/>
                  </w:pPr>
                  <w:r>
                    <w:t xml:space="preserve">An escrow bank mechanism will also be acceptable, provided that the purchase price is deposited in an Egyptian bank account. There are some exemptions to the cash deposit requirement, for example, this requirement does not apply to a transfer of shares between ancestors and descendants, or between a company and its subsidiaries for restructuring purposes. In any event, such exemptions from paying the purchase price must be approved by the FRA.</w:t>
                  </w:r>
                </w:p>
                <w:p>
                  <w:pPr>
                    <w:pStyle w:val="BodyText"/>
                  </w:pPr>
                  <w:r>
                    <w:rPr>
                      <w:b/>
                    </w:rPr>
                    <w:t xml:space="preserve">Signing/closing</w:t>
                  </w:r>
                </w:p>
                <w:p>
                  <w:pPr>
                    <w:pStyle w:val="BodyText"/>
                  </w:pPr>
                  <w:r>
                    <w:rPr>
                      <w:b/>
                    </w:rPr>
                    <w:t xml:space="preserve">Share sale</w:t>
                  </w:r>
                </w:p>
                <w:p>
                  <w:pPr>
                    <w:pStyle w:val="BodyText"/>
                  </w:pPr>
                  <w:r>
                    <w:t xml:space="preserve">Any transfer of unlisted shares in an Egyptian joint stock company (the most commonly used business vehicle in Egypt) must take place before the EGX through a licensed broker, and the transfer of title to the shares is evidenced by the EGX transfer certificates when such shares are not deposited/registered with Misr for Central Clearing, Depository and Registry (MCDR). However, if the shares being transferred are registered with the MCDR, the legal document evidencing completion of transfer of title is the custodian statement. Now, it is required by law that all shares of joint stock companies be registered with the MCDR. Usually, the seller and the buyer appoint the same broker to execute the transaction before the EGX. It is possible for each party to appoint its own broker, but this will require extra cost.</w:t>
                  </w:r>
                </w:p>
                <w:p>
                  <w:pPr>
                    <w:pStyle w:val="BodyText"/>
                  </w:pPr>
                  <w:r>
                    <w:t xml:space="preserve">The process of transferring title to unlisted shares of a joint stock company involves several procedures, including:</w:t>
                  </w:r>
                </w:p>
                <w:p>
                  <w:pPr>
                    <w:pStyle w:val="BodyText"/>
                  </w:pPr>
                  <w:pPr>
                    <w:pStyle w:val="ListParagraph"/>
                    <w:numPr>
                      <w:ilvl w:val="0"/>
                      <w:numId w:val="14"/>
                    </w:numPr>
                  </w:pPr>
                  <w:r>
                    <w:t xml:space="preserve">A codification process (i.e., creating a unified EGX code for the trading parties (seller(s) and buyer(s)), to the extent such codification is not already created at any point prior to the sale.</w:t>
                  </w:r>
                </w:p>
                <w:p>
                  <w:pPr>
                    <w:pStyle w:val="BodyText"/>
                  </w:pPr>
                  <w:pPr>
                    <w:pStyle w:val="ListParagraph"/>
                    <w:numPr>
                      <w:ilvl w:val="0"/>
                      <w:numId w:val="14"/>
                    </w:numPr>
                  </w:pPr>
                  <w:r>
                    <w:t xml:space="preserve">A share trading process, which includes preparing and submitting a set of documents by the seller, the buyer as well as the target company. The EGX usually takes three business days to review the transaction file and request any further documents. The pricing committee within the EGX would need to review the transaction's file and approve it in specific cases, including if a transaction's or a group of related transactions' purchase price is equal to or exceeds EGP 20 million.</w:t>
                  </w:r>
                </w:p>
                <w:p>
                  <w:pPr>
                    <w:pStyle w:val="BodyText"/>
                  </w:pPr>
                  <w:pPr>
                    <w:pStyle w:val="ListParagraph"/>
                    <w:numPr>
                      <w:ilvl w:val="0"/>
                      <w:numId w:val="14"/>
                    </w:numPr>
                  </w:pPr>
                  <w:r>
                    <w:t xml:space="preserve">The EGX usually issues the share transfer certificates proving the transfer of the sold shares to the buyer on the same day of execution. However, if the shares being transferred are registered with the MCDR, the transaction goes through the MCDR following its execution at EGX.</w:t>
                  </w:r>
                </w:p>
                <w:p>
                  <w:pPr>
                    <w:pStyle w:val="BodyText"/>
                  </w:pPr>
                  <w:r>
                    <w:t xml:space="preserve">Certain aspects of the process described above could in practice change from time to time based on internal circulars or policies of the relevant regulators (e.g., the FRA or the EGX) that are not necessarily publicly available.</w:t>
                  </w:r>
                </w:p>
                <w:p>
                  <w:pPr>
                    <w:pStyle w:val="BodyText"/>
                  </w:pPr>
                  <w:r>
                    <w:rPr>
                      <w:b/>
                    </w:rPr>
                    <w:t xml:space="preserve">Asset sale</w:t>
                  </w:r>
                </w:p>
                <w:p>
                  <w:pPr>
                    <w:pStyle w:val="BodyText"/>
                  </w:pPr>
                  <w:r>
                    <w:t xml:space="preserve">There is no specific legal framework regulating asset sale deals in Egypt. The transfer of title of the relevant business assets is done though separate instruments, depending on the relevant asset class, to cover the transferred business components (such as the sale of real property, assignment or contract amendment, licenses and permits amendments or transfers, etc.). It is common, though, for the parties to enter into a master asset sale agreement, or a business transfer agreement, in order to regulate the overall sale process and set out the commercial terms and protection package negotiated by the parties. The approach to the due diligence exercise would naturally differ when the underlying structure of the transaction is intended to be implemented through an asset sale, to identify the legal means through which each selected asset will be transferred (e.g., the selected assets need to be capable of being assignable or transferred pursuant to their underlying agreements or ownership documents). </w:t>
                  </w:r>
                </w:p>
                <w:p>
                  <w:pPr>
                    <w:pStyle w:val="BodyText"/>
                  </w:pPr>
                  <w:r>
                    <w:t xml:space="preserve">Asset sale deals are commonly seen where there is a restructuring, business carve-outs or carve-ins or splitting of business units. Completion of an asset transfer is often a time consuming process, depending on the relevant classes of assets being transferred, but this is particularly the case with regard to the transfer of employees and the sale of real property (due to the property registration process through the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Generally, there are no foreign investment restrictions in Egypt. In 2017, substantial reforms were introduced to create a new Investment Law, aimed at attracting new investments to Egypt by providing additional incentives and guarantees, removing the existing impediments for foreign and domestic investment, protecting investors from bureaucracy and corruption, and streamlining the procedure for establishing projects and obtaining licenses. However, some industries or sectors may require minimum percentages of Egyptian shareholding or participation, such as carrying out commercial agency activities and security activities. As a general rule, a foreign investor must apply for a security clearance as part of the procedure for investing in Egypt or setting up a company. This clearance includes the submission of a specific form covering the required personal and business-related information. Submission of the form in itself does not hinder the investment in Egypt, except for certain nationalities where the security authorities do not allow for investment before clearance has been obtained. In addition, investment, conducting business, ownership of real estate properties in Sinai by foreigners has some security-related restrictions whereby the prior approval of the Sinai Development Authority is required.</w:t>
                  </w:r>
                </w:p>
                <w:p>
                  <w:pPr>
                    <w:pStyle w:val="BodyText"/>
                  </w:pPr>
                  <w:r>
                    <w:t xml:space="preserve">Otherwise, there are generally no issues with foreign investment in Egypt. The Investment Law grants foreign investors the same treatment as Egyptian investors in a manner incentivizing investment. Examples of incentives granted by the Investment Law include: (i) granting investors the right to set up and operate their businesses in foreign currencies transferred from abroad without restrictions; (ii) permitting foreign investors to freely dispose of their assets, liquidate their projects and convert proceeds in local currency into foreign currency through registered banks without restrictions; and (iii) investment projects also have the right to export their products without a license or being registered in the Register of Exporters.</w:t>
                  </w:r>
                </w:p>
                <w:p>
                  <w:pPr>
                    <w:pStyle w:val="BodyText"/>
                  </w:pPr>
                  <w:r>
                    <w:rPr>
                      <w:b/>
                    </w:rPr>
                    <w:t xml:space="preserve">Antitrust/merger control </w:t>
                  </w:r>
                </w:p>
                <w:p>
                  <w:pPr>
                    <w:pStyle w:val="BodyText"/>
                  </w:pPr>
                  <w:r>
                    <w:t xml:space="preserve">Egypt has, technically, introduced a mandatory suspensory pre-merger control regime. However, while the legal requirement is there, according to the Egyptian Competition Authority (ECA), there is currently no need to notify transactions because the Executive Regulation was not issued, which, according to the ECA, will enable the ECA to implement the merger control regime.</w:t>
                  </w:r>
                </w:p>
                <w:p>
                  <w:pPr>
                    <w:pStyle w:val="BodyText"/>
                  </w:pPr>
                  <w:r>
                    <w:t xml:space="preserve">However, given that the Executive Regulation could come into force with little warning, we recommend obtaining legal advice on any transaction which may meet the prescribed notification thresholds.</w:t>
                  </w:r>
                </w:p>
                <w:p>
                  <w:pPr>
                    <w:pStyle w:val="BodyText"/>
                  </w:pP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Generally, there are no other specific approvals required. However, depending on the sector of business, certain approvals may be required from certain governmental bodies. For example, certain approvals of the Ministry of Health are required for transactions in the health sector, and certain approvals may be required from the Central Bank of Egypt, or the FRA for transactions in the banking sector and the FRA for the non-banking financial sector. For the pharmaceuticals and med-tech manufacturing sectors, the pre-approval of the Egyptian Drug Authority is also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Egyptian labor law is largely employee-biased and designed to protect employees. The most common employment issues relevant to M&amp;A transactions in Egypt are layoffs or employee transfers following an acquisition.</w:t>
                  </w:r>
                </w:p>
                <w:p>
                  <w:pPr>
                    <w:pStyle w:val="BodyText"/>
                  </w:pPr>
                  <w:r>
                    <w:t xml:space="preserve">For employees who are laid off, the acquiring entity, as a market practice, compensates them with severance packages equivalent to that of unjustified termination of employees, which may amount to two months per year of service (for unlimited-term employment contracts), and a salary equivalent to the remaining period for limited-term contracts in addition to the termination notice period.</w:t>
                  </w:r>
                </w:p>
                <w:p>
                  <w:pPr>
                    <w:pStyle w:val="BodyText"/>
                  </w:pPr>
                  <w:r>
                    <w:t xml:space="preserve">Further, the Egyptian Labor Law regulates redundancy of employees for economic reasons. This can be relevant to entities prior to or post M&amp;A transactions. However, in practice, redundancy is a lengthy process and, historically, the respective authority has not granted any approvals for redundancy. Therefore, market practice is to agree amicably with the employees on exits.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Tax in Egypt strongly depends on practice. The following tax regulations have been introduced, which may affect M&amp;A transactions.</w:t>
                  </w:r>
                </w:p>
                <w:p>
                  <w:pPr>
                    <w:pStyle w:val="BodyText"/>
                  </w:pPr>
                  <w:r>
                    <w:rPr>
                      <w:b/>
                    </w:rPr>
                    <w:t xml:space="preserve">Value-added tax (VAT)</w:t>
                  </w:r>
                </w:p>
                <w:p>
                  <w:pPr>
                    <w:pStyle w:val="BodyText"/>
                  </w:pPr>
                  <w:r>
                    <w:t xml:space="preserve">VAT applies to the supply of goods and services, at a standard rate of 14%. There are other rates for some certain goods and services, in addition to some exemptions. All companies are required to prepare and file a monthly VAT return with the relevant Egyptian tax authorities.</w:t>
                  </w:r>
                </w:p>
                <w:p>
                  <w:pPr>
                    <w:pStyle w:val="BodyText"/>
                  </w:pPr>
                  <w:r>
                    <w:rPr>
                      <w:b/>
                    </w:rPr>
                    <w:t xml:space="preserve">Capital Gain Tax</w:t>
                  </w:r>
                </w:p>
                <w:p>
                  <w:pPr>
                    <w:pStyle w:val="BodyText"/>
                  </w:pPr>
                  <w:r>
                    <w:t xml:space="preserve">Capital gains realized by a resident/non-resident person due to the disposal of or the sale of unlisted shares will be subject to a capital gains tax at the rate of 22.5%. The capital gain is the difference between the sale price and the ownership cost of the share. The ownership cost may be determined based on different references, including the book, nominal and fair market value depending on the tax analysis/assessment given by the tax advisor.</w:t>
                  </w:r>
                </w:p>
                <w:p>
                  <w:pPr>
                    <w:pStyle w:val="BodyText"/>
                  </w:pPr>
                  <w:r>
                    <w:t xml:space="preserve">Capital gains realized by a resident/non-resident person due to the disposal of, or the sale of, listed shares will be subject to a capital gains tax at the rate of 10%.</w:t>
                  </w:r>
                </w:p>
                <w:p>
                  <w:pPr>
                    <w:pStyle w:val="BodyText"/>
                  </w:pPr>
                  <w:r>
                    <w:rPr>
                      <w:b/>
                    </w:rPr>
                    <w:t xml:space="preserve">Stamp duty tax</w:t>
                  </w:r>
                </w:p>
                <w:p>
                  <w:pPr>
                    <w:pStyle w:val="BodyText"/>
                  </w:pPr>
                  <w:r>
                    <w:t xml:space="preserve">A "Stamp Tax/Duty" regime applies to the total value of trading in securities (i.e., Egyptian or foreign securities, listed or unlisted), excluding public treasury bills and bonds, without any deductions regarding expenses.</w:t>
                  </w:r>
                </w:p>
                <w:p>
                  <w:pPr>
                    <w:pStyle w:val="BodyText"/>
                  </w:pPr>
                  <w:r>
                    <w:t xml:space="preserve">Stamp duty taxes are as follows:</w:t>
                  </w:r>
                </w:p>
                <w:p>
                  <w:pPr>
                    <w:pStyle w:val="BodyText"/>
                  </w:pPr>
                  <w:pPr>
                    <w:pStyle w:val="ListParagraph"/>
                    <w:numPr>
                      <w:ilvl w:val="0"/>
                      <w:numId w:val="12"/>
                    </w:numPr>
                  </w:pPr>
                  <w:r>
                    <w:t xml:space="preserve">0.05% on the resident buyer, and another 0.05% on the resident seller</w:t>
                  </w:r>
                </w:p>
                <w:p>
                  <w:pPr>
                    <w:pStyle w:val="BodyText"/>
                  </w:pPr>
                  <w:pPr>
                    <w:pStyle w:val="ListParagraph"/>
                    <w:numPr>
                      <w:ilvl w:val="0"/>
                      <w:numId w:val="12"/>
                    </w:numPr>
                  </w:pPr>
                  <w:r>
                    <w:t xml:space="preserve">0.125% on the non-resident buyer and another 0.125% on the non-resident seller.</w:t>
                  </w:r>
                </w:p>
                <w:p>
                  <w:pPr>
                    <w:pStyle w:val="BodyText"/>
                  </w:pPr>
                  <w:r>
                    <w:t xml:space="preserve">Stamp tax increases to 0.3% when the transaction is a sale or acquisition of 33% or more of the: (i) shares; (ii) voting rights; or (iii) assets &amp; liabilities of a resident company, in return for shares in another resident company.</w:t>
                  </w:r>
                </w:p>
                <w:p>
                  <w:pPr>
                    <w:pStyle w:val="BodyText"/>
                  </w:pPr>
                  <w:r>
                    <w:t xml:space="preserve">If multiple transactions conducted by one legal person related to a company exceed this 33% limit during the two years following the first transaction, the seller and buyer are subject to a 0.3% rate on the total amount of the transactions, with the right to offset any stamp duty already paid on the transactions (0.125% or 0.05%, as referred to above).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8239c0a4683b4f0d">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Egyptian law permits different means of obtaining control of a business in Egypt: through acquisition of shares, acquisition of assets or mergers. Acquisitions of shares is most common.</w:t>
                  </w:r>
                </w:p>
                <w:p>
                  <w:pPr>
                    <w:pStyle w:val="BodyText"/>
                  </w:pPr>
                  <w:r>
                    <w:t xml:space="preserve">The Companies Law and Capital Markets Law regulate shares swaps between local companies. The shareholders of the target company will assign target company shares to the buyer in return for shares in one or more other companies via a share for share exchange; however, it may be required that, at least the nominal value of the shares is paid by the buyer through EGX (as set out in the "Pricing and payment" section above). The Companies Law regulates mergers of companies. One or more companies may merge into an existing company or may merge with each other to form a new company.</w:t>
                  </w:r>
                </w:p>
                <w:p>
                  <w:pPr>
                    <w:pStyle w:val="BodyText"/>
                  </w:pPr>
                  <w:r>
                    <w:t xml:space="preserve">A merger must be approved by an extraordinary general assembly resolution of each of the companies. This approval will be subject to the voting requirements prescribed by the articles of each of the companies. The Companies Law prescribes a voting threshold of 75% for merger decisions. That said, unanimous shareholder approval is required in the event of a merger, which results in an increase of the shareholders'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most common type of target entity in Egypt is a joint stock company.</w:t>
                  </w:r>
                </w:p>
                <w:p>
                  <w:pPr>
                    <w:pStyle w:val="BodyText"/>
                  </w:pPr>
                  <w:r>
                    <w:rPr>
                      <w:color w:val="000000"/>
                    </w:rPr>
                    <w:t xml:space="preserve">The main reason for this is that joint stock companies have a more organized management structure and more stringent corporate governance requirements. In addition, in cases where large amounts of capital are to be allocated, the choice of establishing a joint stock company becomes appealing as there are no requirements to pay the full capital upon establishment. The capital can be paid in full over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different types of limited liability companies, single person companies (these are uncommon), and limited liability companies (i.e., with a minimum number of two quota holders). In Egypt, limited liability company (LLC) capital must be divided into quotas of equal value. The quotaholders are entitled to determine the par value of quotas. Quotas must be of equal rights. LLCs may carry out any activity except for certain activities, such as insurance, banking, savings, deposit taking, investment funds, securities brokerage or portfolio management activities.</w:t>
                  </w:r>
                </w:p>
                <w:p>
                  <w:pPr>
                    <w:pStyle w:val="BodyText"/>
                  </w:pPr>
                  <w:r>
                    <w:t xml:space="preserve">Shareholders of joint stock companies also enjoy limited liability under the Companies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joint stock company is made up of at least three shareholders. There is no maximum limit on the number of shareholders.</w:t>
                  </w:r>
                </w:p>
                <w:p>
                  <w:pPr>
                    <w:pStyle w:val="BodyText"/>
                  </w:pPr>
                  <w:r>
                    <w:t xml:space="preserve">LLCs must have a minimum of two quotaholders at all times and can have up to a maximum of 50 quotaholders. A single person company, which is equivalent to a LLC, can be formed with a single shareholder only.</w:t>
                  </w:r>
                </w:p>
                <w:p>
                  <w:pPr>
                    <w:pStyle w:val="BodyText"/>
                  </w:pPr>
                  <w:r>
                    <w:t xml:space="preserve">Shareholders or quotaholders may be natural persons or juristic persons (legal entities).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Transfer of title to shares in joint stock companies must be executed by a brokerage company licensed by the FRA, even for unlisted shares, as outlined above. The mechanics of processing the transaction vary depending on whether the shares are listed or not, but in both cases it is effected through the EGX. The time required to execute such transactions is approximately one to three business days. However, deals above a threshold of EGP 20 million require the approval of the Trading Committee and, hence, usually take approximately five business days. In practice, the time taken tends to take longer for a number of reasons, including: (i) codification of the parties involved with MCDR (as outlined above), (ii) in cases where specific regulatory approvals are required before the transfer of title, and (iii) where the buyer or the seller is a foreign party which entails preparation of supporting documents that require notarization and legalization in the country of issuance which can lead to a longer timeframe (e.g., board resolution, constitutional documents, etc.). </w:t>
                  </w:r>
                </w:p>
                <w:p>
                  <w:pPr>
                    <w:pStyle w:val="BodyText"/>
                  </w:pPr>
                  <w:r>
                    <w:t xml:space="preserve">The following procedures all have to be satisfied for the transfer of title to the shares:</w:t>
                  </w:r>
                </w:p>
                <w:p>
                  <w:pPr>
                    <w:pStyle w:val="BodyText"/>
                  </w:pPr>
                  <w:pPr>
                    <w:pStyle w:val="ListParagraph"/>
                    <w:numPr>
                      <w:ilvl w:val="0"/>
                      <w:numId w:val="10"/>
                    </w:numPr>
                  </w:pPr>
                  <w:r>
                    <w:t xml:space="preserve">Signing the transaction documents including the share purchase agreement.</w:t>
                  </w:r>
                </w:p>
                <w:p>
                  <w:pPr>
                    <w:pStyle w:val="BodyText"/>
                  </w:pPr>
                  <w:pPr>
                    <w:pStyle w:val="ListParagraph"/>
                    <w:numPr>
                      <w:ilvl w:val="0"/>
                      <w:numId w:val="10"/>
                    </w:numPr>
                  </w:pPr>
                  <w:r>
                    <w:t xml:space="preserve">Appointing a broker for the purpose of executing the share sale and purchase transaction.</w:t>
                  </w:r>
                </w:p>
                <w:p>
                  <w:pPr>
                    <w:pStyle w:val="BodyText"/>
                  </w:pPr>
                  <w:pPr>
                    <w:pStyle w:val="ListParagraph"/>
                    <w:numPr>
                      <w:ilvl w:val="0"/>
                      <w:numId w:val="10"/>
                    </w:numPr>
                  </w:pPr>
                  <w:r>
                    <w:t xml:space="preserve">Duly signing the sale and purchase orders along with provision of documents so required by the EGX.</w:t>
                  </w:r>
                </w:p>
                <w:p>
                  <w:pPr>
                    <w:pStyle w:val="BodyText"/>
                  </w:pPr>
                  <w:pPr>
                    <w:pStyle w:val="ListParagraph"/>
                    <w:numPr>
                      <w:ilvl w:val="0"/>
                      <w:numId w:val="10"/>
                    </w:numPr>
                  </w:pPr>
                  <w:r>
                    <w:t xml:space="preserve">The sale consideration will have to be physically deposited or transferred as below.</w:t>
                  </w:r>
                </w:p>
                <w:p>
                  <w:pPr>
                    <w:pStyle w:val="BodyText"/>
                  </w:pPr>
                  <w:pPr>
                    <w:pStyle w:val="ListParagraph"/>
                    <w:numPr>
                      <w:ilvl w:val="0"/>
                      <w:numId w:val="10"/>
                    </w:numPr>
                  </w:pPr>
                  <w:r>
                    <w:t xml:space="preserve">Once all the documents necessary to execute the transaction are in place and the sale consideration is deposited or transferred, the broker shall proceed with obtaining the FRA and EGX approvals in respect of the transaction and subsequently transferring the title to the shares at EGX.</w:t>
                  </w:r>
                </w:p>
                <w:p>
                  <w:pPr>
                    <w:pStyle w:val="BodyText"/>
                  </w:pPr>
                  <w:r>
                    <w:rPr>
                      <w:b/>
                    </w:rPr>
                    <w:t xml:space="preserve">Payment of the sale consideration/Exceptions:</w:t>
                  </w:r>
                </w:p>
                <w:p>
                  <w:pPr>
                    <w:pStyle w:val="BodyText"/>
                  </w:pPr>
                  <w:r>
                    <w:t xml:space="preserve">The sale consideration has to be physically made against any share transfer. Pursuant to FRA Decree No. 17 for 2017, any brokerage firm executing a transaction has to deal with its clients through a bank account opened at any of the banks approved by the Central Bank of Egypt for any transaction that exceeds EGP 100,000. The brokerage firm executing the transaction at EGX will have to submit to EGX on or before the date of transfer of title a statement confirming that the purchase price is deposited in/transferred to the seller bank account (or escrow bank account if applicable). Article 7 of the decree provides that the brokerage firm shall ensure that the buyer has deposited/transferred the consideration of the sale shares to the brokerage bank account upon executing the transaction, or to the seller’s bank account within, at most, one month before the date of submission of the sell/buy orders to EGX, provided a written confirmation is issued by the bank and addressed to the EGX and FRA. An exception to payment of sale consideration can be applied in any of the following cases:</w:t>
                  </w:r>
                </w:p>
                <w:p>
                  <w:pPr>
                    <w:pStyle w:val="BodyText"/>
                  </w:pPr>
                  <w:pPr>
                    <w:pStyle w:val="ListParagraph"/>
                    <w:numPr>
                      <w:ilvl w:val="0"/>
                      <w:numId w:val="11"/>
                    </w:numPr>
                  </w:pPr>
                  <w:r>
                    <w:t xml:space="preserve">In the event the transfer of title to the shares is made between a buyer and its affiliates, or to an heir.</w:t>
                  </w:r>
                </w:p>
                <w:p>
                  <w:pPr>
                    <w:pStyle w:val="BodyText"/>
                  </w:pPr>
                  <w:pPr>
                    <w:pStyle w:val="ListParagraph"/>
                    <w:numPr>
                      <w:ilvl w:val="0"/>
                      <w:numId w:val="11"/>
                    </w:numPr>
                  </w:pPr>
                  <w:r>
                    <w:t xml:space="preserve">As a result of a share swap provided that the swap is made between Egyptian Companies.</w:t>
                  </w:r>
                </w:p>
                <w:p>
                  <w:pPr>
                    <w:pStyle w:val="BodyText"/>
                  </w:pPr>
                  <w:pPr>
                    <w:pStyle w:val="ListParagraph"/>
                    <w:numPr>
                      <w:ilvl w:val="0"/>
                      <w:numId w:val="11"/>
                    </w:numPr>
                  </w:pPr>
                  <w:r>
                    <w:t xml:space="preserve">Where the FRA so approves in other cases.</w:t>
                  </w:r>
                </w:p>
                <w:p>
                  <w:pPr>
                    <w:pStyle w:val="BodyText"/>
                  </w:pPr>
                  <w:r>
                    <w:t xml:space="preserve">Transfer of title to quotas in limited liability companies must be executed/completed by having: (i) the register of quotas; and (ii) certain provisions of the articles of association of the relevant target company, both changed to reflect the transfer of title. The articles of association of the target company will define whether or not the quotas sale agreement must be notarized. A quotaholders resolution must be issued to amend the shareholding structure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law applies to acquisitions of assets regulating the relationship between sellers and buyers. Usually, an asset transaction takes the form of an asset/business transfer agreement. Transfer of assets tends to take more time for completion/closing. It can entail a time-consuming process as assets and business components have to be transferred through separate transfer instruments and/or procedures. Depending on the type of asset to be transferred, a third-party consent may be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Heads of terms, letters of intent, expressions of interest or term sheets are customary in Egypt. Such documents are usually non-binding except for the clauses relating to exclusivity, confidentiality, governing law and dispute resolution. Egyptian law places great emphasis on the intent of the parties, so any such documents must make clear that they are not intended to create binding obligations. These documents must have a longstop date to enable the parties to pursue a different transaction after a certain period of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Term sheets typically include an exclusivity period that commonly ranges from 60 to 120 days, during which the seller agrees not to engage with any third party regarding the underlying asset or shares.  </w:t>
                  </w:r>
                </w:p>
                <w:p>
                  <w:pPr>
                    <w:pStyle w:val="BodyText"/>
                  </w:pPr>
                  <w:r>
                    <w:t xml:space="preserve">They also include a strict confidentiality clause applicable to both parties, with only certain exceptions relating to disclosures required to be made by law.</w:t>
                  </w:r>
                </w:p>
                <w:p>
                  <w:pPr>
                    <w:pStyle w:val="BodyText"/>
                  </w:pPr>
                  <w:r>
                    <w:t xml:space="preserve">In some cases, a break fee is agreed to cover for potential costs incurred by the non-breaching party, although this commonly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clauses, break fee and confidentiality provisions in a term sheet are not commonly supplemented with separately negotiated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general principles, it is expected that negotiations be conducted in good faith.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common. However, we have seen a rise in locked-box pricing as well over recent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Market practice sees most common adjustments to involve debt free, cash free and normalized level of working capital.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are not common, but seen on certain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a negotiated position as to whether the buyer or the seller takes the lead on preparing the closing balance sheet but, on balance, buyers tend to take such role more frequently (especially in full or majority acquisitions). In either case, it is also common for buyer or seller to appoint a third party independent accounting firm to prepare the closing balance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locked box deals (or, where relevant, it is subject to a limited review). In deals where the pricing structure involves a net debt adjustment, the closing balance sheet is not necessarily audited but it is commonly prepared by a third-party independent accounting firm.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Earn-outs are seen in certain deals (especially in transactions involving venture capital or private equity buyers where the sellers continue to manage the business after closing), but they are not prevalent in all deals. For example, they are not common where the seller is completely exiting the sold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the acquisition is run through an auction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but heavily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varies from deal to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commonly quantified.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 pencil methods are seen in respect of certain aspects, such as non-compete clauses. Waterfall provisions are not commonly used under local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Access is common, but 'broad access' varies from deal to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Updating warranty disclosure is becoming common recently (often coupled with a right to terminate to the extent there is a material disclosure). Notifying a possible breach is a common provision as well.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 and the materiality qualifiers are usually quantified by certain amounts.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varies from to deal to deal. Usually, the warranties are qualified by either limiting the knowledge to a list of key persons, or by implied/actual/constructive knowledge, or by knowledge known within specific bodies within the target company, such as the board meetings or a combination of all of these qualifiers.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often requested by buyers, but commonly resisted by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has become common in recent years, depending on the quality of disclosure.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all times between signing and completion is less common but seen on some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at completion are uncommon.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varies from deal to deal, but more often than not the applicable repetition standard is "true in all material respects".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amount ranges from 10%-40% of the purchase price in relation to business warranty, depending on the size of the deal. Financial caps on key warranties (i.e., authority, title, capacity, etc.) as well as tax indemnities are generally limited to 100% of the purchase price or are unlimited in certain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They usually apply to warranties only, but in some cases, they are negotiated and  are applied to other claims, such as tax indemnities, specific indemnities and other covenants.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generally excepted (e.g., title, capacity, authority). Fraud and gross negligence are also excepted. Often specific areas of concern, such as tax, employment and environmental, have specific higher caps.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basket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general negotiated survival period could be anywhere from 12-36 months post-closing in relation to business warranties. The survival periods for tax or key warranties is commonly up to the expiry of the applicable statute of limitation, although we have seen this negotiated to shorter periods in certain cases depending on the profile of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key warranties (e.g., title, capacity, authority ) as well as fraud and gross negligence or significantly expanding the key warranties survival period (e.g., up to the expiry of the applicable statute of limitation).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 but often discussed.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(net of any cost, including legal fees, for recovery of insurance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(net of any cost, including legal fees, for third-party recoveries)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respect of warranty claims.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but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varies from deal to deal based on the negotiating leverage of each party. It is common to state in the share purchase agreements that only information disclosed in the disclosure letter (or the data room) disarms the buyer from the opportunity to raise claims against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if it is not contrary to public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English law is commonly seen as governing law for cross border M&amp;A. For local M&amp;A deals, Egyptian law is typically the governing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common. National or international arbitration (usually the International Chamber of Commerce or the London Court of International Arbitration), depending on the nationality of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stamp duty tax is to be paid by each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it is common to have the tax warranties and tax indemnities in the same contract.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8239c0a4683b4f0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