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People's Republic of China</w:t>
      </w:r>
      <w:r w:rsidR="00480329"/>
    </w:p>
    <w:p w:rsidRPr="00BC7873" w:rsidR="00BC7873" w:rsidP="00D354EF" w:rsidRDefault="00051AB4" w14:paraId="2476CC56" w14:textId="2FB25FA9">
      <w:pPr>
        <w:pStyle w:val="Title"/>
      </w:pPr>
      <w:r w:rsidRPr="00BC7873">
        <w:t>Agreeing to the acquisition agreement → Limitations on liability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common cap amount (as a percentage of purchase price)?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The buyer will ask for 100% but it is possible to negotiate down. It ranges from 10% to 100%.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cap (and other liability limitations) apply to the whole agreement or just warranties (or particular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Both are seen regularly.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common exceptions to the cap?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Key warranties are often excepted (e.g., title, capitalization and authority). Often tax and specific areas of concern, sometimes with specific higher caps. Separate caps can be negotiated.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deductible or basket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Sometimes. It is becoming more accepted in the market.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de minimis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Sometimes. It is becoming more accepted in the market.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long does seller liability survive?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A general survival of 18-24 months is common. Tax is commonly longer than general warranties.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common carve-outs from limitation on seller liability (e.g., fraud, tax, key warranties)?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It is common to carve out fraud.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warranty insurance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 used, but has been used in private equity exits.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