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People's Republic of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People's Republic of China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the People's Republic of China (PRC, or China), regulatory noncompliance used to be very common but we see a growing trend of improvement. Regulatory noncompliance examples generally include the underpayment of social insurance for employees, violations of overtime policies and breaches of environmental laws. Often, these issues will mean additional costs for rectification and operations post-closing. In certain sectors, e.g., energy and resources, healthcare and telecommunications, noncompliance issues in business practices such as bribery can be prevalent. These issues may erode deal value and, in some situations, may lead to the buyer walking away. For buyers from certain countries, this may also trigger obligations to report to regulators in their home jurisdictions.</w:t>
                  </w:r>
                </w:p>
                <w:p>
                  <w:pPr>
                    <w:pStyle w:val="BodyText"/>
                  </w:pPr>
                  <w:r>
                    <w:t xml:space="preserve">In some jurisdictions, asking the seller to clean up before closing will be the norm. However, this is not necessarily the case for every situation in China. Coming up with an appropriate solution requires detailed due diligence and a deep understanding of the local practice and practical risks involved. Seeking protection via a reduction in the purchase price or a holdback of the purchase price may also be advisable.</w:t>
                  </w:r>
                </w:p>
                <w:p>
                  <w:pPr>
                    <w:pStyle w:val="BodyText"/>
                  </w:pPr>
                  <w:r>
                    <w:rPr>
                      <w:b/>
                    </w:rPr>
                    <w:t xml:space="preserve">Pricing and payment</w:t>
                  </w:r>
                </w:p>
                <w:p>
                  <w:pPr>
                    <w:pStyle w:val="BodyText"/>
                  </w:pPr>
                  <w:r>
                    <w:rPr>
                      <w:i/>
                    </w:rPr>
                    <w:t xml:space="preserve">Independent appraisal</w:t>
                  </w:r>
                </w:p>
                <w:p>
                  <w:pPr>
                    <w:pStyle w:val="BodyText"/>
                  </w:pPr>
                  <w:r>
                    <w:t xml:space="preserve">Where there is an onshore acquisition in China, and the target is a domestic Chinese entity, an independent appraisal will be required for tax filing purposes. In practice, the parties will often negotiate the price and work together to ensure the appraised value is aligned with the agreed price to the extent possible. Where the seller is a Chinese entity, it is common for the seller to ask for payment outside of China to minimize the Chinese taxes payable. They may also seek to create structures that could be exposed to tax and regulatory risks. From the buyer's perspective, accommodating such structures and weighing such accommodation against the risks involved is a balancing act.</w:t>
                  </w:r>
                </w:p>
                <w:p>
                  <w:pPr>
                    <w:pStyle w:val="BodyText"/>
                  </w:pPr>
                  <w:r>
                    <w:rPr>
                      <w:i/>
                    </w:rPr>
                    <w:t xml:space="preserve">Payment</w:t>
                  </w:r>
                </w:p>
                <w:p>
                  <w:pPr>
                    <w:pStyle w:val="BodyText"/>
                  </w:pPr>
                  <w:r>
                    <w:t xml:space="preserve">Where the seller is a Chinese party and the buyer is a foreign party, the purchase price will need to be paid into a designated account in China opened in the seller's name.</w:t>
                  </w:r>
                </w:p>
                <w:p>
                  <w:pPr>
                    <w:pStyle w:val="BodyText"/>
                  </w:pPr>
                  <w:r>
                    <w:t xml:space="preserve">Where the buyer is a Chinese party and the seller is a foreign party, the timeline for closing is typically longer as the Chinese buyer will need to present evidence of payment (or exemption) of Chinese capital gains tax, if any, before it can apply to its bank to remit the purchase price to the foreign seller. As such, it is common to request that the purchase price (or part thereof) be paid into an onshore escrow account upon signing the share purchase agreement.</w:t>
                  </w:r>
                </w:p>
                <w:p>
                  <w:pPr>
                    <w:pStyle w:val="BodyText"/>
                  </w:pPr>
                  <w:r>
                    <w:t xml:space="preserve">In case of a direct acquisition of a Chinese company (shares or assets), a regulation issued by the Ministry of Commerce (MOFCOM) in 2009 (“</w:t>
                  </w:r>
                  <w:r>
                    <w:rPr>
                      <w:b/>
                    </w:rPr>
                    <w:t xml:space="preserve">M&amp;A Regulation</w:t>
                  </w:r>
                  <w:r>
                    <w:t xml:space="preserve">”) requires that the purchase price be paid in full within one year of closing. This makes the structuring of any deferred or earn-out payment challenging. However, with the Foreign Investment Law (FIL) having come into force as of 1 January 2020, the effectiveness of the regulation has been placed into question. There are generally no restrictions in the case of an indirect acquisition.</w:t>
                  </w:r>
                </w:p>
                <w:p>
                  <w:pPr>
                    <w:pStyle w:val="BodyText"/>
                  </w:pPr>
                  <w:r>
                    <w:rPr>
                      <w:b/>
                    </w:rPr>
                    <w:t xml:space="preserve">Signing/closing </w:t>
                  </w:r>
                </w:p>
                <w:p>
                  <w:pPr>
                    <w:pStyle w:val="BodyText"/>
                  </w:pPr>
                  <w:r>
                    <w:rPr>
                      <w:i/>
                    </w:rPr>
                    <w:t xml:space="preserve">Share sale</w:t>
                  </w:r>
                </w:p>
                <w:p>
                  <w:pPr>
                    <w:pStyle w:val="BodyText"/>
                  </w:pPr>
                  <w:r>
                    <w:t xml:space="preserve">As government approval and/or registration is required for a direct transfer (onshore acquisition) of shares in a Chinese company to a foreign buyer, there is normally a gap between signing and closing.</w:t>
                  </w:r>
                </w:p>
                <w:p>
                  <w:pPr>
                    <w:pStyle w:val="BodyText"/>
                  </w:pPr>
                  <w:r>
                    <w:t xml:space="preserve">On the other hand, where the Chinese company is owned by a special purpose vehicle (SPV) outside China, it is common for the deal to be transacted as an offshore transfer of shares in the SPV. Apart from a Chinese merger control filing (which may apply if thresholds are met) and/or a national security review filing (if applicable), the transfer of shares in the SPV is not subject to Chinese government approval or registration (except for a post-completion reporting of a change of beneficial owner) and a simultaneous sign and close is possible.</w:t>
                  </w:r>
                </w:p>
                <w:p>
                  <w:pPr>
                    <w:pStyle w:val="BodyText"/>
                  </w:pPr>
                  <w:r>
                    <w:rPr>
                      <w:i/>
                    </w:rPr>
                    <w:t xml:space="preserve">Asset sale</w:t>
                  </w:r>
                </w:p>
                <w:p>
                  <w:pPr>
                    <w:pStyle w:val="BodyText"/>
                  </w:pPr>
                  <w:r>
                    <w:t xml:space="preserve">Unless the foreign buyer already has existing entities with the requisite business scope in China to acquire the assets, normally there will be a gap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China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targeted at foreign investments in certain sectors. </w:t>
                  </w:r>
                  <w:r>
                    <w:t xml:space="preserve">For further information, see the more detailed section on "Foreign investment restrictions".</w:t>
                  </w:r>
                </w:p>
                <w:p>
                  <w:pPr>
                    <w:pStyle w:val="BodyText"/>
                  </w:pPr>
                  <w:r>
                    <w:rPr>
                      <w:b/>
                    </w:rPr>
                    <w:t xml:space="preserve">Antitrust/merger control </w:t>
                  </w:r>
                </w:p>
                <w:p>
                  <w:pPr>
                    <w:pStyle w:val="BodyText"/>
                  </w:pPr>
                  <w:r>
                    <w:t xml:space="preserve">Merger control in China is mandatory and suspensory. The thresholds for filing are based on the combined worldwide turnover and domestic turnover of the parties involved. It is generally recommended that notifications be made after transaction agreements have been signed and before implementation.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If the target is state-owned, approval or recordal may be required from the State-Owned Assets Supervision and Administration Commission or its local counterpart. A public listing of the shares or assets in question at an authorized property rights exchange would also be required with limited exceptions to apply.</w:t>
                  </w:r>
                </w:p>
                <w:p>
                  <w:pPr>
                    <w:pStyle w:val="BodyText"/>
                  </w:pPr>
                  <w:r>
                    <w:t xml:space="preserve">For acquisitions in certain sectors, such as telecommunications and the financial sector, approval from the relevant industry regulator is also required.</w:t>
                  </w:r>
                </w:p>
                <w:p>
                  <w:pPr>
                    <w:pStyle w:val="BodyText"/>
                  </w:pPr>
                  <w:r>
                    <w:t xml:space="preserve">For targets that engage in infrastructure projects, approval by or recordal with the National Development and Reform Commission (NDRC) or its local counterpart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share transfers, as there is no change of employment relationship, consent from employees or labor unions is not required. However, it will still be important to manage employee issues, as there are examples where employees may make additional demands (e.g., payment of severance or signing of new agreements) even though these demands are not supported by law.</w:t>
                  </w:r>
                </w:p>
                <w:p>
                  <w:pPr>
                    <w:pStyle w:val="BodyText"/>
                  </w:pPr>
                  <w:r>
                    <w:t xml:space="preserve">In case of business transfers, employees will need to be terminated and rehired. Severance is either paid at the time of the termination/rehire or deferred by recognizing the previous years of service of the employees.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Stamp duty of 0.05% of the consideration is payable by each party in the case of a share sale (a total of 0.1%). Stamp duty of 0.05% (real estates) and 0.03% (other assets) applies in the case of an asset sale. Stamp duty should be borne separately by the buyer and seller but they can contractually agree otherwise. By way of illustration, in respect of transfer of real estates, the buyer and seller are each separately liable to pay stamp duty at 0.05% on the contract value. In other words, a total of 0.1%.</w:t>
                  </w:r>
                </w:p>
                <w:p>
                  <w:pPr>
                    <w:pStyle w:val="BodyText"/>
                  </w:pPr>
                  <w:r>
                    <w:t xml:space="preserve">For Chinese corporate sellers, capital gains will form part of their profits and will be subject to enterprise income tax (EIT) at the rate of 25%. For Chinese individuals, Chinese capital gains tax is 20%. For foreign sellers of shares, capital gains are subject to 10% withholding tax, unless reduced by a tax treaty.</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c1cc8068369b4e3a">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investor wishing to acquire or increase its equity in a target company registered in the PRC would commonly do so in one of the following ways:</w:t>
                  </w:r>
                </w:p>
                <w:p>
                  <w:pPr>
                    <w:pStyle w:val="BodyText"/>
                  </w:pPr>
                  <w:pPr>
                    <w:pStyle w:val="ListParagraph"/>
                    <w:numPr>
                      <w:ilvl w:val="0"/>
                      <w:numId w:val="12"/>
                    </w:numPr>
                  </w:pPr>
                  <w:r>
                    <w:t xml:space="preserve">Direct acquisition, where the foreign investor buys all or part of the equity of the PRC target company or subscribes for an increase in capital of the target directly,</w:t>
                  </w:r>
                </w:p>
                <w:p>
                  <w:pPr>
                    <w:pStyle w:val="BodyText"/>
                  </w:pPr>
                  <w:pPr>
                    <w:pStyle w:val="ListParagraph"/>
                    <w:numPr>
                      <w:ilvl w:val="0"/>
                      <w:numId w:val="12"/>
                    </w:numPr>
                  </w:pPr>
                  <w:r>
                    <w:t xml:space="preserve">Offshore/indirect acquisition, where the foreign investor acquires or increases the equity of the PRC target company via the offshore purchase of or subscription for an increase in equity in the target's foreign parent(s),</w:t>
                  </w:r>
                </w:p>
                <w:p>
                  <w:pPr>
                    <w:pStyle w:val="BodyText"/>
                  </w:pPr>
                  <w:pPr>
                    <w:pStyle w:val="ListParagraph"/>
                    <w:numPr>
                      <w:ilvl w:val="0"/>
                      <w:numId w:val="12"/>
                    </w:numPr>
                  </w:pPr>
                  <w:r>
                    <w:t xml:space="preserve">Asset acquisition, where a foreign investor, using a new or existing foreign invested enterprise (FIE) as the acquiring vehicle, directly buys some or all of the business and assets of the PRC target company.</w:t>
                  </w:r>
                </w:p>
                <w:p>
                  <w:pPr>
                    <w:pStyle w:val="BodyText"/>
                  </w:pPr>
                  <w:r>
                    <w:t xml:space="preserve">State-owned interests and special types of acquisition: The Law of the PRC on the State-Owned Assets of Enterprises, passed in October 2008, was a reminder of how significant state-owned enterprises (SOEs) are in the Chinese national economy. It remains the Chinese government's objective to spin-off SOEs in less sensitive sectors, particularly SOEs in poor financial shape. Since early 2003, foreign investors have been allowed to acquire domestic creditors' rights (debts) in the target SOE and thereby qualify for the opportunity to later convert such debts into equity in the company (similar to a convertible bond). The normal means of direct equity or asset acquisition applicable to regular companies outlined above will also apply, with certain special rules and restrictions. Such acquisitions could also raise other issues, such as state asset valuations and employee resettlement issues.</w:t>
                  </w:r>
                </w:p>
                <w:p>
                  <w:pPr>
                    <w:pStyle w:val="BodyText"/>
                  </w:pPr>
                  <w:r>
                    <w:t xml:space="preserve">It is a mandatory requirement under PRC law that the transfer of state-owned assets and equities shall be conducted through a listing and bidding process at an authorized property rights exchange center. Apart from the above, for private deals, auction processes are seen in some M&amp;A deals of relatively large sizes. Bid process letters are not commonly used in the transfer of state-owned assets and equities administered by exchange centers. In contrast, in auction deals led by private sellers, bid process letters are typically used, and both nonbinding indicative bid letters and binding letters at the final offer stage are commonly seen in China.</w:t>
                  </w:r>
                </w:p>
                <w:p>
                  <w:pPr>
                    <w:pStyle w:val="BodyText"/>
                  </w:pPr>
                  <w:r>
                    <w:t xml:space="preserve">A scheme of arrangement is not applicable under PRC law.</w:t>
                  </w:r>
                </w:p>
                <w:p>
                  <w:pPr>
                    <w:pStyle w:val="BodyText"/>
                  </w:pPr>
                  <w:r>
                    <w:t xml:space="preserve">Mergers: Western-style mergers between two or more companies are possible but are rarely seen in the PRC. Current PRC statutory mechanisms recognize two means of mergers: a merger by absorption and a merger by new establishment. A merger by absorption involves one company absorbing another, after which the absorbed company is dissolved and its registered capital and assets are merged into the surviving entity. In a merger by new establishment, both pre-merger companies are dissolved and a new company is established, holding an aggregate of the pre-merger companies' assets and registered capital. Generally, the post-merger entity would be a complete successor to the pre-merger entities, that is, it would assume all rights and liabilities of those pre-merger entities. However, creditors of the participating companies may opt to have their claims repaid in full before the completion of the merger.</w:t>
                  </w:r>
                </w:p>
                <w:p>
                  <w:pPr>
                    <w:pStyle w:val="BodyText"/>
                  </w:pPr>
                  <w:r>
                    <w:t xml:space="preserve">Cross-border mergers are currently unavailable under PRC law, i.e., it is not possible to directly merge a foreign entity with a domestic company (including FIEs). For foreign investors, the only permissible forms of mergers in China are between FIEs and FIEs, or between FIEs and domestic companies.</w:t>
                  </w:r>
                </w:p>
                <w:p>
                  <w:pPr>
                    <w:pStyle w:val="BodyText"/>
                  </w:pPr>
                  <w:r>
                    <w:t xml:space="preserve">Generally, share and equity acquisition are more common than asset acquisition since asset deals are usually more time-consuming and complicated to execute.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Traditionally, foreign investors usually establish a presence in the PRC via one or more of the following legal forms:</w:t>
                  </w:r>
                </w:p>
                <w:p>
                  <w:pPr>
                    <w:pStyle w:val="BodyText"/>
                  </w:pPr>
                  <w:pPr>
                    <w:pStyle w:val="ListParagraph"/>
                    <w:numPr>
                      <w:ilvl w:val="0"/>
                      <w:numId w:val="11"/>
                    </w:numPr>
                  </w:pPr>
                  <w:r>
                    <w:t xml:space="preserve">Representative offices</w:t>
                  </w:r>
                </w:p>
                <w:p>
                  <w:pPr>
                    <w:pStyle w:val="BodyText"/>
                  </w:pPr>
                  <w:pPr>
                    <w:pStyle w:val="ListParagraph"/>
                    <w:numPr>
                      <w:ilvl w:val="0"/>
                      <w:numId w:val="11"/>
                    </w:numPr>
                  </w:pPr>
                  <w:r>
                    <w:t xml:space="preserve">Sino-foreign joint ventures (JVs)</w:t>
                  </w:r>
                </w:p>
                <w:p>
                  <w:pPr>
                    <w:pStyle w:val="BodyText"/>
                  </w:pPr>
                  <w:pPr>
                    <w:pStyle w:val="ListParagraph"/>
                    <w:numPr>
                      <w:ilvl w:val="0"/>
                      <w:numId w:val="11"/>
                    </w:numPr>
                  </w:pPr>
                  <w:r>
                    <w:t xml:space="preserve">Wholly foreign-owned enterprises (WFOEs)</w:t>
                  </w:r>
                </w:p>
                <w:p>
                  <w:pPr>
                    <w:pStyle w:val="BodyText"/>
                  </w:pPr>
                  <w:pPr>
                    <w:pStyle w:val="ListParagraph"/>
                    <w:numPr>
                      <w:ilvl w:val="0"/>
                      <w:numId w:val="11"/>
                    </w:numPr>
                  </w:pPr>
                  <w:r>
                    <w:t xml:space="preserve">Foreign-invested joint-stock limited companies (FISCs)</w:t>
                  </w:r>
                </w:p>
                <w:p>
                  <w:pPr>
                    <w:pStyle w:val="BodyText"/>
                  </w:pPr>
                  <w:r>
                    <w:t xml:space="preserve">The latest option is the foreign-invested partnership (FIP). The more flexible FIP form is now starting to replace the foreign-invested venture capital enterprise (a form of a PRC vehicle used by some international investors to acquire Chinese targets), particularly with PRC investment funds aimed at foreign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JV or a WFOE takes the form of a limited liability company (LLC) that does not issue shares but has "registered capital," which is registered with the business registry. FISCs (currently less common in China) are share-issuing companies similar in legal form to Western-style corporations. An FIP may take the form of a limited liability partnership, which is akin to its Western-style counterparts.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maximum number of an LLC setup in the PRC is 50. For LLCs in certain regulated sectors (e.g., general aviation), foreign investment may be subject to ownership restriction. As a result, such companies need to have at least one Chinese shareholder and one foreign shareholder, and the foreign shareholder may only hold a minority stake depending on the business scope of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direct acquisition will take place in the PRC and may be subject to PRC approval as well as registration information reporting requirements, which may be time-consuming and involve government discretion, i.e., the PRC authorities may withhold approval (if applicable) if they perceive problems with the transaction.</w:t>
                  </w:r>
                </w:p>
                <w:p>
                  <w:pPr>
                    <w:pStyle w:val="BodyText"/>
                  </w:pPr>
                  <w:r>
                    <w:t xml:space="preserve">The foreign buyer in a direct share acquisition generally assumes all existing or contingent obligations and liabilities of and restrictions applicable to the PRC target company in proportion to its equity in the target, unless explicitly carved out or excluded before or during the transaction.</w:t>
                  </w:r>
                </w:p>
                <w:p>
                  <w:pPr>
                    <w:pStyle w:val="BodyText"/>
                  </w:pPr>
                  <w:r>
                    <w:t xml:space="preserve">Offshore/indirect acquisition of shares: This option is available only if the PRC target companies have foreign investors. An offshore acquisition takes place in the offshore company's jurisdiction of incorporation and it is generally not subject to PRC jurisdiction and review, except in certain circumstances under the PRC's antitrust and national security review regimes and PRC tax disclosures. This could change under the FIL that affords the MOFCOM or its local counterparts authority to approve certain types of offshore acquisition whereby the actual control of a domestic enterprise is transferred to a foreign investor.</w:t>
                  </w:r>
                </w:p>
                <w:p>
                  <w:pPr>
                    <w:pStyle w:val="BodyText"/>
                  </w:pPr>
                  <w:r>
                    <w:t xml:space="preserve">In addition, if the offshore company's ultimate shareholders are PRC nationals or entities, certain PRC filings should have been made with the State Administration of Foreign Exchange (SAFE) that should be carefully reviewed during due diligence.</w:t>
                  </w:r>
                </w:p>
                <w:p>
                  <w:pPr>
                    <w:pStyle w:val="BodyText"/>
                  </w:pPr>
                  <w:r>
                    <w:t xml:space="preserve">The foreign buyer in an indirect share acquisition generally assumes all the existing or contingent obligations and liabilities of, and restrictions applicable to, the PRC target company via the target's parent company, unless explicitly carved out or excluded before or during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asset deal, the buyer may need to set up a new entity with local registration authority to take over the transferred assets as well as the transferred employees (if the buyer does not have an existing suitable entity in China). In addition, permits and licenses are not automatically transferrable in an asset deal. The buyer's entity may need to apply</w:t>
                  </w:r>
                  <w:r>
                    <w:t xml:space="preserve">  </w:t>
                  </w:r>
                  <w:r>
                    <w:t xml:space="preserve">for the necessary permits and licenses in its own name before it can operate the acquired business and assets. Transfer of employees would entail termination of the contracts with the seller and execution of new contracts with the buying entity. In an asset transaction, any existing obligations and liabilities of the target or restrictions on it generally remain the target's sole responsibility.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becoming more and more common to prepare a letter of intent or term sheet for M&amp;A deals in the PRC. While the letter of intent or term sheet is normally signed as a nonbinding document, it is customary to give binding effect on the following provisions: confidentiality, exclusivity for negotiation, governing law, dispute resolutions and the nonbinding effect clause itself.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commonly included in letters of intent or term sheets, but there are many instances where letters of intent or term sheets do not contain exclusivity provisions.</w:t>
                  </w:r>
                </w:p>
                <w:p>
                  <w:pPr>
                    <w:pStyle w:val="BodyText"/>
                  </w:pPr>
                  <w:pPr>
                    <w:pStyle w:val="ListParagraph"/>
                    <w:numPr>
                      <w:ilvl w:val="0"/>
                      <w:numId w:val="10"/>
                    </w:numPr>
                  </w:pPr>
                  <w:r>
                    <w:rPr>
                      <w:b/>
                    </w:rPr>
                    <w:t xml:space="preserve">Break fee</w:t>
                  </w:r>
                  <w:r>
                    <w:t xml:space="preserve">: Break fee provisions are not common but are sometimes seen in the market.</w:t>
                  </w:r>
                </w:p>
                <w:p>
                  <w:pPr>
                    <w:pStyle w:val="BodyText"/>
                  </w:pPr>
                  <w:pPr>
                    <w:pStyle w:val="ListParagraph"/>
                    <w:numPr>
                      <w:ilvl w:val="0"/>
                      <w:numId w:val="10"/>
                    </w:numPr>
                  </w:pPr>
                  <w:r>
                    <w:rPr>
                      <w:b/>
                    </w:rPr>
                    <w:t xml:space="preserve">Confidentiality</w:t>
                  </w:r>
                  <w:r>
                    <w:t xml:space="preserve">: Confidentiality provisions are commonly included in letters of intent or term sheets.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common to negotiate separate confidentiality agreements and exclusivity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basic legal principle, the PRC Civil Code requires the contracting parties to act in good faith in the negotiation stage. According to Article 500 of the PRC Civil Code, a party shall be liable for damages suffered by the other party if it: (i) pretends to conclude a contract and negotiates in bad faith; (ii) deliberately conceals important facts relating to the conclusion of the contract or provides false information; or (iii) performs other acts that violate the principle of good faith.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in offshore acquisitions or onshore acquisitions of FIEs, but not very common in onshore acquisitions of domestic companies mainly due to restrictions under PRC foreign exchange control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Cash-free/debt-free is very common. Working capital is also fairly common. Net asset value is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Collars are rarely used. This may be required where public companies are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prepared by the target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and more common in private equity transactions where sellers continue to manage the target company after closing. It is less common where the seller is completely exiting. Earn-outs are commonly capped. There are potential difficulties in implementing earn-out provisions in onshore acquisitions given the requirement for foreign investors to pay the purchase price in full within one year under the M&amp;A Regulation, as well as restrictions under PRC foreign exchange control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Due to restrictions under PRC foreign exchange control rules, cross border deposit payments are difficult to implement in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Escrows are very commonly used by private equity investors and strategic buyers.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typically only available where there is a long period before the execution and completion or in the case of a foreign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quantified MAE and non-quantified MAE are seen.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not from private equity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Blue pencil methods are more commonly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other pre-closing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We generally get this for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Updating schedules is common but limited to things like lists of contracts. Notification of possible breach is common. In the case of a material breach, there is a right to terminate.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growing. They are often limited to the actual knowledge and due enquiry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Chinese sellers commonly require this but it is often not accepted by buyers. Chinese sellers may be reluctant to prepare specific disclosures.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not very common to repeat warranties at all times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Bring-down certificates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often carve-out for fundamental representations, which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will ask for 100% but it is possible to negotiate down. It ranges from 10% to 100%.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(e.g., title, capitalization and authority). Often tax and specific areas of concern, sometimes with specific higher caps.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Sometimes. It is becoming more accepted in the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Sometimes. It is becoming more accepted in the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general survival of 18-24 months is common. Tax is commonly longer than general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used, but has been used in private equity exits.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proceeds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amounts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not usually express but is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PRC law is mandatory for certain types of agreements (e.g., a purchase agreement of which both the seller and the buyer are Chinese entities, and JV contracts with Chinese entities). Otherwise, Hong Kong or English law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PRC law is mandatory for certain types of agreements (e.g., a purchase agreement of which both the seller and the buyer are Chinese entities, and JV contracts with Chinese entities). Otherwise, Hong Kong or English law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Hong Kong is predominately chosen but will typically carve out court or administrative action (e.g., injunction). Chinese arbitration (e.g., China International Economic and Trade Arbitration Commission) is becoming more accepted in the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An equity/share/asset purchase agreement is subject to stamp duty in the amount of 0.05% of the purchase price (for each party). It is common for stamp duty to be equally shared.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becoming increasingly common.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c1cc8068369b4e3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