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Public M&amp;A Guide - Australia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rPr>
              <w:i/>
            </w:rPr>
            <w:t xml:space="preserve">This content was last reviewed around January 2025.</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Overview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The Australian takeover market is well established and highly developed, with the regulatory framework having been in place for several decades and a substantial body of market practice having formed.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General Legal Framework</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General Legal Framework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Main legal framework</w:t>
                  </w:r>
                </w:p>
                <w:p>
                  <w:pPr>
                    <w:pStyle w:val="BodyText"/>
                  </w:pPr>
                  <w:r>
                    <w:t xml:space="preserve">Public company control transactions, whether by takeover bid or scheme of arrangement, are highly regulated in Australia.</w:t>
                  </w:r>
                </w:p>
                <w:p>
                  <w:pPr>
                    <w:pStyle w:val="BodyText"/>
                  </w:pPr>
                  <w:r>
                    <w:t xml:space="preserve">The main source of regulation of takeover offers is Chapter 6 of the Corporations Act, 2001 (Cth) (the "</w:t>
                  </w:r>
                  <w:r>
                    <w:rPr>
                      <w:b/>
                    </w:rPr>
                    <w:t xml:space="preserve">Corporations Act</w:t>
                  </w:r>
                  <w:r>
                    <w:t xml:space="preserve">") as modified and interpreted by the exercise of broad discretionary powers vested in the Australian Securities and Investments Commission ("</w:t>
                  </w:r>
                  <w:r>
                    <w:rPr>
                      <w:b/>
                    </w:rPr>
                    <w:t xml:space="preserve">ASIC</w:t>
                  </w:r>
                  <w:r>
                    <w:t xml:space="preserve">") (the Australian corporate regulator) and the Takeovers Panel (a specialist tribunal that resolves takeover disputes).</w:t>
                  </w:r>
                </w:p>
                <w:p>
                  <w:pPr>
                    <w:pStyle w:val="BodyText"/>
                  </w:pPr>
                  <w:r>
                    <w:t xml:space="preserve">A public company takeover can also be implemented by way of a "scheme of arrangement", which is a court-approved form of transaction between a company and its shareholders. The main source of regulation for schemes of arrangement is Chapter 5 of the Corporations Act, together with ASIC policy on disclosure principles and other matters and oversight by the court (state Supreme Court or the Federal Court).</w:t>
                  </w:r>
                </w:p>
                <w:p>
                  <w:pPr>
                    <w:pStyle w:val="BodyText"/>
                  </w:pPr>
                  <w:r>
                    <w:t xml:space="preserve">The most common takeover structures in Australia are off-market takeover bids, on-market takeover bids and court-approved schemes of arrangement. These takeover structures are discussed in further detail in Section 4.</w:t>
                  </w:r>
                </w:p>
                <w:p>
                  <w:pPr>
                    <w:pStyle w:val="BodyText"/>
                  </w:pPr>
                  <w:r>
                    <w:t xml:space="preserve">This guide focuses on the acquisition of shares in a listed public company. The same rules and principles will generally apply to interests in a listed managed investment scheme (such as units in a unit trust). However, only companies can use schemes of arrangement, and managed investment schemes have to use a special kind of "trust scheme".</w:t>
                  </w:r>
                </w:p>
                <w:p>
                  <w:pPr>
                    <w:pStyle w:val="BodyText"/>
                  </w:pPr>
                  <w:r>
                    <w:rPr>
                      <w:b/>
                    </w:rPr>
                    <w:t xml:space="preserve">2.2 Other rules and principlesOther rules and principles that may be relevant to a takeover offer in Australia include:</w:t>
                  </w:r>
                </w:p>
                <w:p>
                  <w:pPr>
                    <w:pStyle w:val="BodyText"/>
                  </w:pPr>
                  <w:pPr>
                    <w:pStyle w:val="ListParagraph"/>
                    <w:numPr>
                      <w:ilvl w:val="0"/>
                      <w:numId w:val="69"/>
                    </w:numPr>
                  </w:pPr>
                  <w:r>
                    <w:t xml:space="preserve">competition rules set out in the Competition and Consumer Act 2010 (Cth) which are administered by the Australian Competition and Consumer Commission (the "</w:t>
                  </w:r>
                  <w:r>
                    <w:rPr>
                      <w:b/>
                    </w:rPr>
                    <w:t xml:space="preserve">ACCC</w:t>
                  </w:r>
                  <w:r>
                    <w:t xml:space="preserve">");</w:t>
                  </w:r>
                </w:p>
                <w:p>
                  <w:pPr>
                    <w:pStyle w:val="BodyText"/>
                  </w:pPr>
                  <w:pPr>
                    <w:pStyle w:val="ListParagraph"/>
                    <w:numPr>
                      <w:ilvl w:val="0"/>
                      <w:numId w:val="70"/>
                    </w:numPr>
                  </w:pPr>
                  <w:r>
                    <w:t xml:space="preserve">foreign investment rules set out in the Foreign Acquisitions and Takeovers Act 1975 (Cth) and the accompanying regulations, where proposed acquisitions requiring approval are regulated by the Treasurer of the Commonwealth of Australia with assistance from the Foreign Investment Review Board ("</w:t>
                  </w:r>
                  <w:r>
                    <w:rPr>
                      <w:b/>
                    </w:rPr>
                    <w:t xml:space="preserve">FIRB</w:t>
                  </w:r>
                  <w:r>
                    <w:t xml:space="preserve">"); and</w:t>
                  </w:r>
                </w:p>
                <w:p>
                  <w:pPr>
                    <w:pStyle w:val="BodyText"/>
                  </w:pPr>
                  <w:pPr>
                    <w:pStyle w:val="ListParagraph"/>
                    <w:numPr>
                      <w:ilvl w:val="0"/>
                      <w:numId w:val="71"/>
                    </w:numPr>
                  </w:pPr>
                  <w:r>
                    <w:t xml:space="preserve">other rules specific to an industry (such as banking, broadcasting, aviation and gaming) which may regulate control transactions.</w:t>
                  </w:r>
                </w:p>
                <w:p>
                  <w:pPr>
                    <w:pStyle w:val="BodyText"/>
                  </w:pPr>
                  <w:r>
                    <w:t xml:space="preserve">The listing rules of the Australian Securities Exchange ("</w:t>
                  </w:r>
                  <w:r>
                    <w:rPr>
                      <w:b/>
                    </w:rPr>
                    <w:t xml:space="preserve">ASX</w:t>
                  </w:r>
                  <w:r>
                    <w:t xml:space="preserve">") do not separately regulate takeovers in any major way. This means that non- Australian companies that are listed on the ASX will generally be regulated only by the law of their home jurisdiction, and will not be subject to Australian takeover regulation.</w:t>
                  </w:r>
                </w:p>
                <w:p>
                  <w:pPr>
                    <w:pStyle w:val="BodyText"/>
                  </w:pPr>
                  <w:r>
                    <w:rPr>
                      <w:b/>
                    </w:rPr>
                    <w:t xml:space="preserve">2.3 Supervision and enforcement by the regulatory bodies</w:t>
                  </w:r>
                </w:p>
                <w:p>
                  <w:pPr>
                    <w:pStyle w:val="BodyText"/>
                  </w:pPr>
                  <w:r>
                    <w:t xml:space="preserve">Takeovers in Australia are principally regulated by ASIC, with takeover disputes largely being determined by the Takeovers Panel. The courts play a central role in takeover offers conducted by way of scheme of arrangement, but otherwise have a limited role in takeovers.</w:t>
                  </w:r>
                </w:p>
                <w:p>
                  <w:pPr>
                    <w:pStyle w:val="BodyText"/>
                  </w:pPr>
                  <w:r>
                    <w:t xml:space="preserve">ASIC is a government body which supervises the operation of companies and securities law including takeovers. It is responsible for monitoring compliance with the Corporations Act and has wide powers to investigate the conduct and share trading activities of parties involved in a takeover, among other things. ASIC also has broad facilitative, regulatory and enforcement powers, and has the power to modify and grant relief from the takeover rules.</w:t>
                  </w:r>
                </w:p>
                <w:p>
                  <w:pPr>
                    <w:pStyle w:val="BodyText"/>
                  </w:pPr>
                  <w:r>
                    <w:t xml:space="preserve">The Takeovers Panel is a non-judicial body and is the principal forum for resolving takeover disputes. It has the power to declare circumstances unacceptable and to make remedial orders on a principles-based determination, without requiring there to be a breach of law.</w:t>
                  </w:r>
                </w:p>
                <w:p>
                  <w:pPr>
                    <w:pStyle w:val="BodyText"/>
                  </w:pPr>
                  <w:r>
                    <w:rPr>
                      <w:b/>
                    </w:rPr>
                    <w:t xml:space="preserve">2.4 Fundamental principles</w:t>
                  </w:r>
                </w:p>
                <w:p>
                  <w:pPr>
                    <w:pStyle w:val="BodyText"/>
                  </w:pPr>
                  <w:r>
                    <w:t xml:space="preserve">The following principles set out the objectives of the takeover provisions in the Corporations Act:</w:t>
                  </w:r>
                </w:p>
                <w:p>
                  <w:pPr>
                    <w:pStyle w:val="BodyText"/>
                  </w:pPr>
                  <w:pPr>
                    <w:pStyle w:val="ListParagraph"/>
                    <w:numPr>
                      <w:ilvl w:val="0"/>
                      <w:numId w:val="72"/>
                    </w:numPr>
                  </w:pPr>
                  <w:r>
                    <w:t xml:space="preserve">that the acquisition of control of a public company takes place in an efficient, competitive and informed market;</w:t>
                  </w:r>
                </w:p>
                <w:p>
                  <w:pPr>
                    <w:pStyle w:val="BodyText"/>
                  </w:pPr>
                  <w:pPr>
                    <w:pStyle w:val="ListParagraph"/>
                    <w:numPr>
                      <w:ilvl w:val="1"/>
                      <w:numId w:val="73"/>
                    </w:numPr>
                    <w:ind w:left="1560"/>
                  </w:pPr>
                  <w:r>
                    <w:t xml:space="preserve">that the shareholders and directors of a public company:</w:t>
                  </w:r>
                </w:p>
                <w:p>
                  <w:pPr>
                    <w:pStyle w:val="BodyText"/>
                  </w:pPr>
                  <w:pPr>
                    <w:pStyle w:val="ListParagraph"/>
                    <w:numPr>
                      <w:ilvl w:val="1"/>
                      <w:numId w:val="73"/>
                    </w:numPr>
                    <w:ind w:left="1560"/>
                  </w:pPr>
                  <w:r>
                    <w:t xml:space="preserve">know the identity of any person who proposes to acquire a substantial interest in the public company;</w:t>
                  </w:r>
                </w:p>
                <w:p>
                  <w:pPr>
                    <w:pStyle w:val="BodyText"/>
                  </w:pPr>
                  <w:pPr>
                    <w:pStyle w:val="ListParagraph"/>
                    <w:numPr>
                      <w:ilvl w:val="1"/>
                      <w:numId w:val="73"/>
                    </w:numPr>
                    <w:ind w:left="1560"/>
                  </w:pPr>
                  <w:r>
                    <w:t xml:space="preserve">have a reasonable time to consider the proposal; and</w:t>
                  </w:r>
                </w:p>
                <w:p>
                  <w:pPr>
                    <w:pStyle w:val="BodyText"/>
                  </w:pPr>
                  <w:pPr>
                    <w:pStyle w:val="ListParagraph"/>
                    <w:numPr>
                      <w:ilvl w:val="1"/>
                      <w:numId w:val="73"/>
                    </w:numPr>
                    <w:ind w:left="1560"/>
                  </w:pPr>
                  <w:r>
                    <w:t xml:space="preserve">are given enough information to assess the merits of the proposal;</w:t>
                  </w:r>
                </w:p>
                <w:p>
                  <w:pPr>
                    <w:pStyle w:val="BodyText"/>
                  </w:pPr>
                  <w:pPr>
                    <w:pStyle w:val="ListParagraph"/>
                    <w:numPr>
                      <w:ilvl w:val="0"/>
                      <w:numId w:val="74"/>
                    </w:numPr>
                  </w:pPr>
                  <w:r>
                    <w:t xml:space="preserve">that, as far as practicable, the public company's shareholders should all have a reasonable and equal opportunity to participate in any benefits accruing to the entity's shareholders through the proposal; and</w:t>
                  </w:r>
                </w:p>
                <w:p>
                  <w:pPr>
                    <w:pStyle w:val="BodyText"/>
                  </w:pPr>
                  <w:pPr>
                    <w:pStyle w:val="ListParagraph"/>
                    <w:numPr>
                      <w:ilvl w:val="0"/>
                      <w:numId w:val="75"/>
                    </w:numPr>
                  </w:pPr>
                  <w:r>
                    <w:t xml:space="preserve">that an appropriate procedure is followed as a preliminary to compulsory squeeze-out of the minority shareholders under the Corporations Act.</w:t>
                  </w:r>
                </w:p>
                <w:p>
                  <w:pPr>
                    <w:pStyle w:val="BodyText"/>
                  </w:pPr>
                  <w:r>
                    <w:rPr>
                      <w:b/>
                    </w:rPr>
                    <w:t xml:space="preserve">2.5 Foreign investment regulations</w:t>
                  </w:r>
                </w:p>
                <w:p>
                  <w:pPr>
                    <w:pStyle w:val="BodyText"/>
                  </w:pPr>
                  <w:r>
                    <w:t xml:space="preserve">Foreign investments in Australian entities, businesses and land are regulated by the Foreign Acquisitions and Takeovers Act 1975 (Cth) (FATA) and related legislation and Australia's Foreign Investment Policy (Policy). The FIRB administers the legislation and Policy and assists the Treasurer of the Commonwealth of Australia ("</w:t>
                  </w:r>
                  <w:r>
                    <w:rPr>
                      <w:b/>
                    </w:rPr>
                    <w:t xml:space="preserve">Treasurer</w:t>
                  </w:r>
                  <w:r>
                    <w:t xml:space="preserve">") to make decisions on foreign investment proposals submitted for approval. </w:t>
                  </w:r>
                </w:p>
                <w:p>
                  <w:pPr>
                    <w:pStyle w:val="BodyText"/>
                  </w:pPr>
                  <w:r>
                    <w:t xml:space="preserve">A "foreign person" that proposes to invest in an entity, business or land in Australia must apply for approval (typically referred to as "</w:t>
                  </w:r>
                  <w:r>
                    <w:rPr>
                      <w:b/>
                    </w:rPr>
                    <w:t xml:space="preserve">FIRB approval</w:t>
                  </w:r>
                  <w:r>
                    <w:t xml:space="preserve">") if the transaction involves a "notifiable action". If the transaction involves a "significant action" (but not a notifiable action) it is not mandatory to seek approval but the Treasurer may prohibit or reverse the transaction if it is contrary to Australia's national interest. There is no specific definition of "national interest" in the legislation, although the Policy provides some guidance. Whether an investment by a foreign person involves a notifiable action and/or a significant action depends on the nature of the investment and, in most cases, the extent of the interest acquired and the value of the investment or the relevant entity or business. </w:t>
                  </w:r>
                </w:p>
                <w:p>
                  <w:pPr>
                    <w:pStyle w:val="BodyText"/>
                  </w:pPr>
                  <w:r>
                    <w:t xml:space="preserve">In general, proposals to acquire an interest of 20% or more in any Australian business valued at over A$330 million (or the higher threshold of A$1,427 million for agreement country investors from Chile, China, Japan, Korea, Singapore, New Zealand and the United States) require prior approval.</w:t>
                  </w:r>
                </w:p>
                <w:p>
                  <w:pPr>
                    <w:pStyle w:val="BodyText"/>
                  </w:pPr>
                  <w:r>
                    <w:t xml:space="preserve">All foreign government investors also require approval to acquire a direct interest in an Australian entity or an Australian business or to start a new Australian business, regardless of the value of the investment.</w:t>
                  </w:r>
                </w:p>
                <w:p>
                  <w:pPr>
                    <w:pStyle w:val="BodyText"/>
                  </w:pPr>
                  <w:r>
                    <w:t xml:space="preserve">Restrictions also apply to the investment by foreign investors in real estate (including commercial and residential land), agribusiness and agricultural land. In addition, investments in certain sectors are subject to more stringent requirements, including investments in the telecommunications, media, transport and defense sectors. For example, an investment of 5% or more in an entity or business in the media sector will require FIRB approval, regardless of value.</w:t>
                  </w:r>
                </w:p>
                <w:p>
                  <w:pPr>
                    <w:pStyle w:val="BodyText"/>
                  </w:pPr>
                  <w:r>
                    <w:t xml:space="preserve">All applications to FIRB must be made online and incur a fee which varies depending on the size of the proposed transaction.</w:t>
                  </w:r>
                </w:p>
                <w:p>
                  <w:pPr>
                    <w:pStyle w:val="BodyText"/>
                  </w:pPr>
                  <w:r>
                    <w:t xml:space="preserve">We recommend that any foreign person seeking to make an investment in an Australian asset or entity carefully considers the application of FATA prior to entering into any transaction.</w:t>
                  </w:r>
                </w:p>
                <w:p>
                  <w:pPr>
                    <w:pStyle w:val="BodyText"/>
                  </w:pPr>
                  <w:r>
                    <w:rPr>
                      <w:b/>
                    </w:rPr>
                    <w:t xml:space="preserve">2.6 Proposed reforms</w:t>
                  </w:r>
                </w:p>
                <w:p>
                  <w:pPr>
                    <w:pStyle w:val="BodyText"/>
                  </w:pPr>
                  <w:r>
                    <w:t xml:space="preserve">There are currently no significant proposed reforms to the takeover rules in Australia.</w:t>
                  </w:r>
                </w:p>
                <w:p>
                  <w:pPr>
                    <w:pStyle w:val="BodyText"/>
                  </w:pPr>
                  <w:r>
                    <w:t xml:space="preserve">ASIC issues and regularly updates regulatory guides to provide informal direction as to how it normally interprets and applies relevant provisions of the Corporations Act. In addition, the Takeovers Panel issues guidance notes on various takeover issues that may give rise to unacceptable circumstances and publishes its reasons for decisions on its website.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Before a Public Takeover Bid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Before a Public Takeover Bid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3.1 Basic takeover prohibition</w:t>
                  </w:r>
                </w:p>
                <w:p>
                  <w:pPr>
                    <w:pStyle w:val="BodyText"/>
                  </w:pPr>
                  <w:r>
                    <w:t xml:space="preserve">The Corporations Act prohibits a person from acquiring a 'relevant interest' in issued voting shares of a company if, because of the transaction, either that person's or someone else's 'voting power' in the company increases:</w:t>
                  </w:r>
                </w:p>
                <w:p>
                  <w:pPr>
                    <w:pStyle w:val="BodyText"/>
                  </w:pPr>
                  <w:pPr>
                    <w:pStyle w:val="ListParagraph"/>
                    <w:numPr>
                      <w:ilvl w:val="0"/>
                      <w:numId w:val="50"/>
                    </w:numPr>
                  </w:pPr>
                  <w:r>
                    <w:t xml:space="preserve">from 20% or below to more than 20%; or</w:t>
                  </w:r>
                </w:p>
                <w:p>
                  <w:pPr>
                    <w:pStyle w:val="BodyText"/>
                  </w:pPr>
                  <w:pPr>
                    <w:pStyle w:val="ListParagraph"/>
                    <w:numPr>
                      <w:ilvl w:val="0"/>
                      <w:numId w:val="51"/>
                    </w:numPr>
                  </w:pPr>
                  <w:r>
                    <w:t xml:space="preserve">from a starting point that is above 20% and to a level below 90%,</w:t>
                  </w:r>
                </w:p>
                <w:p>
                  <w:pPr>
                    <w:pStyle w:val="BodyText"/>
                  </w:pPr>
                  <w:r>
                    <w:t xml:space="preserve">unless the acquisition occurs under one of the permitted exceptions permitted by the Corporations Act (as discussed in 3.2 below).</w:t>
                  </w:r>
                </w:p>
                <w:p>
                  <w:pPr>
                    <w:pStyle w:val="BodyText"/>
                  </w:pPr>
                  <w:r>
                    <w:t xml:space="preserve">The Corporations Act regulates acquisitions of more than 20% of:</w:t>
                  </w:r>
                </w:p>
                <w:p>
                  <w:pPr>
                    <w:pStyle w:val="BodyText"/>
                  </w:pPr>
                  <w:pPr>
                    <w:pStyle w:val="ListParagraph"/>
                    <w:numPr>
                      <w:ilvl w:val="0"/>
                      <w:numId w:val="52"/>
                    </w:numPr>
                  </w:pPr>
                  <w:r>
                    <w:t xml:space="preserve">the voting shares in a listed Australian company, or in an unlisted Australian company with more than 50 shareholders; and</w:t>
                  </w:r>
                </w:p>
                <w:p>
                  <w:pPr>
                    <w:pStyle w:val="BodyText"/>
                  </w:pPr>
                  <w:pPr>
                    <w:pStyle w:val="ListParagraph"/>
                    <w:numPr>
                      <w:ilvl w:val="0"/>
                      <w:numId w:val="53"/>
                    </w:numPr>
                  </w:pPr>
                  <w:r>
                    <w:t xml:space="preserve">the voting interests in a listed managed investment scheme (the most common example of which is a listed unit trust, such as a REIT).</w:t>
                  </w:r>
                </w:p>
                <w:p>
                  <w:pPr>
                    <w:pStyle w:val="BodyText"/>
                  </w:pPr>
                  <w:r>
                    <w:t xml:space="preserve">The key concept in determining whether or not an acquisition breaches the 20% limit is the "voting power" which results from the acquisition.</w:t>
                  </w:r>
                </w:p>
                <w:p>
                  <w:pPr>
                    <w:pStyle w:val="BodyText"/>
                  </w:pPr>
                  <w:pPr>
                    <w:pStyle w:val="ListParagraph"/>
                    <w:numPr>
                      <w:ilvl w:val="0"/>
                      <w:numId w:val="54"/>
                    </w:numPr>
                  </w:pPr>
                  <w:r>
                    <w:t xml:space="preserve">"Voting power"</w:t>
                  </w:r>
                </w:p>
                <w:p>
                  <w:pPr>
                    <w:pStyle w:val="BodyText"/>
                  </w:pPr>
                  <w:r>
                    <w:t xml:space="preserve">A person's "voting power" in a company is the aggregate of that person's "relevant interests" in voting shares and the "relevant interests" of that person's "associates", expressed as a percentage of all issued voting shares.</w:t>
                  </w:r>
                </w:p>
                <w:p>
                  <w:pPr>
                    <w:pStyle w:val="BodyText"/>
                  </w:pPr>
                  <w:pPr>
                    <w:pStyle w:val="ListParagraph"/>
                    <w:numPr>
                      <w:ilvl w:val="0"/>
                      <w:numId w:val="54"/>
                    </w:numPr>
                  </w:pPr>
                  <w:r>
                    <w:t xml:space="preserve">"Relevant interest"</w:t>
                  </w:r>
                </w:p>
                <w:p>
                  <w:pPr>
                    <w:pStyle w:val="BodyText"/>
                  </w:pPr>
                  <w:r>
                    <w:t xml:space="preserve">The concept of "relevant interest" is broad, covering almost all situations where a person has direct or indirect control over the voting or disposal of a share.</w:t>
                  </w:r>
                </w:p>
                <w:p>
                  <w:pPr>
                    <w:pStyle w:val="BodyText"/>
                  </w:pPr>
                  <w:pPr>
                    <w:pStyle w:val="ListParagraph"/>
                    <w:numPr>
                      <w:ilvl w:val="0"/>
                      <w:numId w:val="54"/>
                    </w:numPr>
                  </w:pPr>
                  <w:r>
                    <w:t xml:space="preserve">"Association"</w:t>
                  </w:r>
                </w:p>
                <w:p>
                  <w:pPr>
                    <w:pStyle w:val="BodyText"/>
                  </w:pPr>
                  <w:r>
                    <w:t xml:space="preserve">An associate of a person is defined to capture a broad range of circumstances. In essence, two persons will be associated if:</w:t>
                  </w:r>
                </w:p>
                <w:p>
                  <w:pPr>
                    <w:pStyle w:val="BodyText"/>
                  </w:pPr>
                  <w:pPr>
                    <w:pStyle w:val="ListParagraph"/>
                    <w:numPr>
                      <w:ilvl w:val="1"/>
                      <w:numId w:val="55"/>
                    </w:numPr>
                    <w:ind w:left="1560"/>
                  </w:pPr>
                  <w:r>
                    <w:t xml:space="preserve">they are both corporate bodies and one controls the other or they are under the common control of another person;</w:t>
                  </w:r>
                </w:p>
                <w:p>
                  <w:pPr>
                    <w:pStyle w:val="BodyText"/>
                  </w:pPr>
                  <w:pPr>
                    <w:pStyle w:val="ListParagraph"/>
                    <w:numPr>
                      <w:ilvl w:val="1"/>
                      <w:numId w:val="55"/>
                    </w:numPr>
                    <w:ind w:left="1560"/>
                  </w:pPr>
                  <w:r>
                    <w:t xml:space="preserve">there is an agreement, understanding or arrangement (whether legally enforceable or not) between them for the purpose of controlling or influencing the relevant company's board or affairs; or</w:t>
                  </w:r>
                </w:p>
                <w:p>
                  <w:pPr>
                    <w:pStyle w:val="BodyText"/>
                  </w:pPr>
                  <w:pPr>
                    <w:pStyle w:val="ListParagraph"/>
                    <w:numPr>
                      <w:ilvl w:val="1"/>
                      <w:numId w:val="55"/>
                    </w:numPr>
                    <w:ind w:left="1560"/>
                  </w:pPr>
                  <w:r>
                    <w:t xml:space="preserve">they are acting or proposing to "act in concert" in relation to the relevant company's affairs.</w:t>
                  </w:r>
                </w:p>
                <w:p>
                  <w:pPr>
                    <w:pStyle w:val="BodyText"/>
                  </w:pPr>
                  <w:r>
                    <w:rPr>
                      <w:b/>
                    </w:rPr>
                    <w:t xml:space="preserve">3.2 Exceptions to the basic takeover prohibition</w:t>
                  </w:r>
                </w:p>
                <w:p>
                  <w:pPr>
                    <w:pStyle w:val="BodyText"/>
                  </w:pPr>
                  <w:r>
                    <w:t xml:space="preserve">Where a bidder aims to take control of the target company (generally 100%, but can be as low as 50%), the main structures for achieving this result are</w:t>
                  </w:r>
                </w:p>
                <w:tbl>
                  <w:pPr>
                    <w:pStyle w:val="BodyText"/>
                  </w:pPr>
                  <w:tblPr>
                    <w:tblStyle w:val="TableGrid"/>
                    <w:tblW w:w="5000" w:type="pct"/>
                  </w:tblPr>
                  <w:tblGrid>
                    <w:gridCol/>
                    <w:gridCol/>
                  </w:tblGrid>
                  <w:tr>
                    <w:tc>
                      <w:tcPr>
                        <w:tcW w:w="1500" w:type="pct"/>
                        <w:vAlign w:val="center"/>
                      </w:tcPr>
                      <w:p>
                        <w:r>
                          <w:rPr>
                            <w:b/>
                          </w:rPr>
                          <w:t xml:space="preserve">Exception</w:t>
                        </w:r>
                      </w:p>
                    </w:tc>
                    <w:tc>
                      <w:tcPr>
                        <w:tcW w:w="3500" w:type="pct"/>
                        <w:vAlign w:val="center"/>
                      </w:tcPr>
                      <w:p>
                        <w:r>
                          <w:rPr>
                            <w:b/>
                          </w:rPr>
                          <w:t xml:space="preserve">Nature of transaction</w:t>
                        </w:r>
                      </w:p>
                    </w:tc>
                  </w:tr>
                  <w:tr>
                    <w:tc>
                      <w:tcPr>
                        <w:vAlign w:val="center"/>
                      </w:tcPr>
                      <w:p>
                        <w:r>
                          <w:t xml:space="preserve">Off-market takeover bid</w:t>
                        </w:r>
                      </w:p>
                    </w:tc>
                    <w:tc>
                      <w:tcPr>
                        <w:vAlign w:val="center"/>
                      </w:tcPr>
                      <w:p>
                        <w:r>
                          <w:t xml:space="preserve">An acquisition resulting from the acceptance of an offer under a takeover bid by way of off- market acceptance.</w:t>
                        </w:r>
                      </w:p>
                    </w:tc>
                  </w:tr>
                  <w:tr>
                    <w:tc>
                      <w:tcPr>
                        <w:vAlign w:val="center"/>
                      </w:tcPr>
                      <w:p>
                        <w:r>
                          <w:t xml:space="preserve">On-market takeover bid</w:t>
                        </w:r>
                      </w:p>
                    </w:tc>
                    <w:tc>
                      <w:tcPr>
                        <w:vAlign w:val="center"/>
                      </w:tcPr>
                      <w:p>
                        <w:r>
                          <w:t xml:space="preserve">An acquisition resulting from the acceptance of an offer under a takeover bid by way of on- market acceptance.</w:t>
                        </w:r>
                      </w:p>
                    </w:tc>
                  </w:tr>
                  <w:tr>
                    <w:tc>
                      <w:tcPr>
                        <w:vAlign w:val="center"/>
                      </w:tcPr>
                      <w:p>
                        <w:r>
                          <w:t xml:space="preserve">Scheme of arrangement</w:t>
                        </w:r>
                      </w:p>
                    </w:tc>
                    <w:tc>
                      <w:tcPr>
                        <w:vAlign w:val="center"/>
                      </w:tcPr>
                      <w:p>
                        <w:r>
                          <w:t xml:space="preserve">An acquisition approved by the target shareholders and the court.</w:t>
                        </w:r>
                      </w:p>
                    </w:tc>
                  </w:tr>
                  <w:tr>
                    <w:tc>
                      <w:tcPr>
                        <w:vAlign w:val="center"/>
                      </w:tcPr>
                      <w:p>
                        <w:r>
                          <w:t xml:space="preserve">Shareholder approval</w:t>
                        </w:r>
                      </w:p>
                    </w:tc>
                    <w:tc>
                      <w:tcPr>
                        <w:vAlign w:val="center"/>
                      </w:tcPr>
                      <w:p>
                        <w:r>
                          <w:t xml:space="preserve">An acquisition made with the approval of a vote of target company shareholders in general meeting.</w:t>
                        </w:r>
                      </w:p>
                    </w:tc>
                  </w:tr>
                  <w:tr>
                    <w:tc>
                      <w:tcPr>
                        <w:vAlign w:val="center"/>
                      </w:tcPr>
                      <w:p>
                        <w:r>
                          <w:t xml:space="preserve">Creep acquisition</w:t>
                        </w:r>
                      </w:p>
                    </w:tc>
                    <w:tc>
                      <w:tcPr>
                        <w:vAlign w:val="center"/>
                      </w:tcPr>
                      <w:p>
                        <w:r>
                          <w:t xml:space="preserve">Acquisitions of no more than 3% of the voting power in a rolling six-month period from a starting point above 19%.</w:t>
                        </w:r>
                      </w:p>
                    </w:tc>
                  </w:tr>
                  <w:tr>
                    <w:tc>
                      <w:tcPr>
                        <w:vAlign w:val="center"/>
                      </w:tcPr>
                      <w:p>
                        <w:r>
                          <w:t xml:space="preserve">Downstream acquisition</w:t>
                        </w:r>
                      </w:p>
                    </w:tc>
                    <w:tc>
                      <w:tcPr>
                        <w:vAlign w:val="center"/>
                      </w:tcPr>
                      <w:p>
                        <w:r>
                          <w:t xml:space="preserve">An acquisition resulting from the acquisition of shares in an "upstream" entity, i.e., one which is listed on the ASX or on a specified foreign exchange, which itself has a relevant interest in a "downstream" ASX-listed company or trust.</w:t>
                        </w:r>
                      </w:p>
                    </w:tc>
                  </w:tr>
                  <w:tr>
                    <w:tc>
                      <w:tcPr>
                        <w:vAlign w:val="center"/>
                      </w:tcPr>
                      <w:p>
                        <w:r>
                          <w:t xml:space="preserve">Rights issue</w:t>
                        </w:r>
                      </w:p>
                    </w:tc>
                    <w:tc>
                      <w:tcPr>
                        <w:vAlign w:val="center"/>
                      </w:tcPr>
                      <w:p>
                        <w:r>
                          <w:t xml:space="preserve">An acquisition resulting from pro-rata rights issues to all shareholders.</w:t>
                        </w:r>
                      </w:p>
                    </w:tc>
                  </w:tr>
                </w:tbl>
                <w:p>
                  <w:pPr>
                    <w:pStyle w:val="BodyText"/>
                  </w:pPr>
                  <w:r>
                    <w:t xml:space="preserve">Unlike the takeover laws of some other jurisdictions, there is no "follow-on" or "mandatory bid" rule in Australia which would allow a bidder to acquire shares above the 20% limit if it then immediately makes a general offer to all other shareholders in the target company. Instead, a bidder must stop at the 20% limit, and then make its bid from that point.</w:t>
                  </w:r>
                </w:p>
                <w:p>
                  <w:pPr>
                    <w:pStyle w:val="BodyText"/>
                  </w:pPr>
                  <w:r>
                    <w:rPr>
                      <w:b/>
                    </w:rPr>
                    <w:t xml:space="preserve">3.3 Shareholding thresholds </w:t>
                  </w:r>
                </w:p>
                <w:p>
                  <w:pPr>
                    <w:pStyle w:val="BodyText"/>
                  </w:pPr>
                  <w:r>
                    <w:t xml:space="preserve">The table below provides an overview of the key shareholding thresholds for a public company under the Corporations Act:</w:t>
                  </w:r>
                </w:p>
                <w:tbl>
                  <w:pPr>
                    <w:pStyle w:val="BodyText"/>
                  </w:pPr>
                  <w:tblPr>
                    <w:tblStyle w:val="TableGrid"/>
                    <w:tblW w:w="5000" w:type="pct"/>
                  </w:tblPr>
                  <w:tblGrid>
                    <w:gridCol/>
                    <w:gridCol/>
                  </w:tblGrid>
                  <w:tr>
                    <w:tc>
                      <w:tcPr>
                        <w:tcW w:w="1500" w:type="pct"/>
                        <w:vAlign w:val="center"/>
                      </w:tcPr>
                      <w:p>
                        <w:r>
                          <w:rPr>
                            <w:b/>
                          </w:rPr>
                          <w:t xml:space="preserve">Percentage (%) of issued shares</w:t>
                        </w:r>
                      </w:p>
                    </w:tc>
                    <w:tc>
                      <w:tcPr>
                        <w:tcW w:w="3500" w:type="pct"/>
                        <w:vAlign w:val="center"/>
                      </w:tcPr>
                      <w:p>
                        <w:r>
                          <w:rPr>
                            <w:b/>
                          </w:rPr>
                          <w:t xml:space="preserve">Implications </w:t>
                        </w:r>
                      </w:p>
                    </w:tc>
                  </w:tr>
                  <w:tr>
                    <w:tc>
                      <w:tcPr>
                        <w:vAlign w:val="center"/>
                      </w:tcPr>
                      <w:p>
                        <w:r>
                          <w:t xml:space="preserve">≥5%</w:t>
                        </w:r>
                      </w:p>
                    </w:tc>
                    <w:tc>
                      <w:tcPr>
                        <w:vAlign w:val="center"/>
                      </w:tcPr>
                      <w:p>
                        <w:r>
                          <w:t xml:space="preserve">Substantial holding notice:</w:t>
                        </w:r>
                      </w:p>
                      <w:p>
                        <w:pPr>
                          <w:pStyle w:val="ListParagraph"/>
                          <w:numPr>
                            <w:ilvl w:val="0"/>
                            <w:numId w:val="56"/>
                          </w:numPr>
                        </w:pPr>
                        <w:r>
                          <w:t xml:space="preserve">Persons who, together with their associates, have relevant interests in voting shares representing 5% or more of the votes in a publicly listed company or listed registered managed investment scheme must disclose details of their relevant interest by filing a substantial holder notice. Disclosure must also be made when a person's substantial holding changes by 1%, if they cease to have a substantial holding or if they make a takeover bid.</w:t>
                        </w:r>
                      </w:p>
                    </w:tc>
                  </w:tr>
                  <w:tr>
                    <w:tc>
                      <w:tcPr>
                        <w:vAlign w:val="center"/>
                      </w:tcPr>
                      <w:p>
                        <w:r>
                          <w:t xml:space="preserve">&gt;10%</w:t>
                        </w:r>
                      </w:p>
                    </w:tc>
                    <w:tc>
                      <w:tcPr>
                        <w:vAlign w:val="center"/>
                      </w:tcPr>
                      <w:p>
                        <w:r>
                          <w:t xml:space="preserve">Blocking of compulsory acquisition following takeover bid:</w:t>
                        </w:r>
                      </w:p>
                      <w:p>
                        <w:pPr>
                          <w:pStyle w:val="ListParagraph"/>
                          <w:numPr>
                            <w:ilvl w:val="0"/>
                            <w:numId w:val="57"/>
                          </w:numPr>
                        </w:pPr>
                        <w:r>
                          <w:t xml:space="preserve">A person who has a greater than 10% shareholding interest in a publicly listed company or listed registered managed investment scheme will be able to prevent a majority shareholder from moving to 100% ownership through compulsory acquisition (the compulsory acquisition threshold is 90%).</w:t>
                        </w:r>
                      </w:p>
                    </w:tc>
                  </w:tr>
                  <w:tr>
                    <w:tc>
                      <w:tcPr>
                        <w:vAlign w:val="center"/>
                      </w:tcPr>
                      <w:p>
                        <w:r>
                          <w:t xml:space="preserve">&gt;20%</w:t>
                        </w:r>
                      </w:p>
                    </w:tc>
                    <w:tc>
                      <w:tcPr>
                        <w:vAlign w:val="center"/>
                      </w:tcPr>
                      <w:p>
                        <w:r>
                          <w:t xml:space="preserve">Takeovers threshold:</w:t>
                        </w:r>
                      </w:p>
                      <w:p>
                        <w:pPr>
                          <w:pStyle w:val="ListParagraph"/>
                          <w:numPr>
                            <w:ilvl w:val="0"/>
                            <w:numId w:val="58"/>
                          </w:numPr>
                        </w:pPr>
                        <w:r>
                          <w:t xml:space="preserve">A person cannot acquire a "relevant interest" in a public company's shares if it would result in that person's or someone else's "voting power" in the company increasing from 20% or below to more than 20%, or increasing from a starting point that is above 20% to a level below 90%, unless the acquisition occurs via a specified exception.</w:t>
                        </w:r>
                      </w:p>
                    </w:tc>
                  </w:tr>
                  <w:tr>
                    <w:tc>
                      <w:tcPr>
                        <w:vAlign w:val="center"/>
                      </w:tcPr>
                      <w:p>
                        <w:r>
                          <w:t xml:space="preserve">≥25%</w:t>
                        </w:r>
                      </w:p>
                    </w:tc>
                    <w:tc>
                      <w:tcPr>
                        <w:vAlign w:val="center"/>
                      </w:tcPr>
                      <w:p>
                        <w:r>
                          <w:t xml:space="preserve">Blocking of scheme of arrangement:</w:t>
                        </w:r>
                      </w:p>
                      <w:p>
                        <w:pPr>
                          <w:pStyle w:val="ListParagraph"/>
                          <w:numPr>
                            <w:ilvl w:val="0"/>
                            <w:numId w:val="59"/>
                          </w:numPr>
                        </w:pPr>
                        <w:r>
                          <w:t xml:space="preserve">A person holding 25% or more of a public company's shares can block the approval of a takeover conducted by a scheme of arrangement, as one of the scheme voting thresholds is approval by at least 75% of the votes cast on the scheme resolution.</w:t>
                        </w:r>
                      </w:p>
                      <w:p>
                        <w:r>
                          <w:t xml:space="preserve">Blocking of special resolutions:</w:t>
                        </w:r>
                      </w:p>
                      <w:p>
                        <w:pPr>
                          <w:pStyle w:val="ListParagraph"/>
                          <w:numPr>
                            <w:ilvl w:val="0"/>
                            <w:numId w:val="60"/>
                          </w:numPr>
                        </w:pPr>
                        <w:r>
                          <w:t xml:space="preserve">A person holding 25% or more of a company's shares can unilaterally block the approval of a special resolution.</w:t>
                        </w:r>
                      </w:p>
                    </w:tc>
                  </w:tr>
                  <w:tr>
                    <w:tc>
                      <w:tcPr>
                        <w:vAlign w:val="center"/>
                      </w:tcPr>
                      <w:p>
                        <w:r>
                          <w:t xml:space="preserve">&gt;50%</w:t>
                        </w:r>
                      </w:p>
                    </w:tc>
                    <w:tc>
                      <w:tcPr>
                        <w:vAlign w:val="center"/>
                      </w:tcPr>
                      <w:p>
                        <w:r>
                          <w:t xml:space="preserve">Passage of ordinary resolutions:</w:t>
                        </w:r>
                      </w:p>
                      <w:p>
                        <w:pPr>
                          <w:pStyle w:val="ListParagraph"/>
                          <w:numPr>
                            <w:ilvl w:val="0"/>
                            <w:numId w:val="61"/>
                          </w:numPr>
                        </w:pPr>
                        <w:r>
                          <w:t xml:space="preserve">A person holding more than 50% of a company's shares can pass an ordinary resolution. Importantly, directors can be appointed and removed by shareholders by ordinary resolution.</w:t>
                        </w:r>
                      </w:p>
                    </w:tc>
                  </w:tr>
                  <w:tr>
                    <w:tc>
                      <w:tcPr>
                        <w:vAlign w:val="center"/>
                      </w:tcPr>
                      <w:p>
                        <w:r>
                          <w:t xml:space="preserve">≥75%</w:t>
                        </w:r>
                      </w:p>
                    </w:tc>
                    <w:tc>
                      <w:tcPr>
                        <w:vAlign w:val="center"/>
                      </w:tcPr>
                      <w:p>
                        <w:r>
                          <w:t xml:space="preserve">Passage of special resolutions:</w:t>
                        </w:r>
                      </w:p>
                      <w:p>
                        <w:pPr>
                          <w:pStyle w:val="ListParagraph"/>
                          <w:numPr>
                            <w:ilvl w:val="0"/>
                            <w:numId w:val="62"/>
                          </w:numPr>
                        </w:pPr>
                        <w:r>
                          <w:t xml:space="preserve">A person holding 75% or more of a company's shares can pass a special resolution.</w:t>
                        </w:r>
                      </w:p>
                    </w:tc>
                  </w:tr>
                  <w:tr>
                    <w:tc>
                      <w:tcPr>
                        <w:vAlign w:val="center"/>
                      </w:tcPr>
                      <w:p>
                        <w:r>
                          <w:t xml:space="preserve">≥90%</w:t>
                        </w:r>
                      </w:p>
                    </w:tc>
                    <w:tc>
                      <w:tcPr>
                        <w:vAlign w:val="center"/>
                      </w:tcPr>
                      <w:p>
                        <w:r>
                          <w:t xml:space="preserve">Entitlement to compulsory acquisition:</w:t>
                        </w:r>
                      </w:p>
                      <w:p>
                        <w:pPr>
                          <w:pStyle w:val="ListParagraph"/>
                          <w:numPr>
                            <w:ilvl w:val="0"/>
                            <w:numId w:val="63"/>
                          </w:numPr>
                        </w:pPr>
                        <w:r>
                          <w:t xml:space="preserve">Generally, where a person owns 90% or more of a company's shares, they can compulsorily acquire the remainder.</w:t>
                        </w:r>
                      </w:p>
                    </w:tc>
                  </w:tr>
                </w:tbl>
                <w:p>
                  <w:pPr>
                    <w:pStyle w:val="BodyText"/>
                  </w:pPr>
                  <w:r>
                    <w:rPr>
                      <w:b/>
                    </w:rPr>
                    <w:t xml:space="preserve">3.4 Restrictions and careful planning </w:t>
                  </w:r>
                </w:p>
                <w:p>
                  <w:pPr>
                    <w:pStyle w:val="BodyText"/>
                  </w:pPr>
                  <w:r>
                    <w:t xml:space="preserve">In Australia, there is established market practice and certain rules that impose restrictions prior to the announcement of a takeover, including in relation to prior stake building by a bidder and prior due diligence by a potential bidder. Accordingly, some careful planning is necessary if a potential bidder or target company intends to commence a process that may lead to a takeover.</w:t>
                  </w:r>
                </w:p>
                <w:p>
                  <w:pPr>
                    <w:pStyle w:val="BodyText"/>
                  </w:pPr>
                  <w:r>
                    <w:rPr>
                      <w:b/>
                    </w:rPr>
                    <w:t xml:space="preserve">3.5 Due diligence</w:t>
                  </w:r>
                </w:p>
                <w:p>
                  <w:pPr>
                    <w:pStyle w:val="BodyText"/>
                  </w:pPr>
                  <w:r>
                    <w:t xml:space="preserve">In a friendly or solicited bid, the bidder may be given pre-bid access to confidential information of the target company. Given that publicly listed entities in Australia are subject to extensive reporting requirements and have strict continuous disclosure obligations in respect of price sensitive information, the due diligence should generally tease out additional detail around what has already been publicly disclosed.</w:t>
                  </w:r>
                </w:p>
                <w:p>
                  <w:pPr>
                    <w:pStyle w:val="BodyText"/>
                  </w:pPr>
                  <w:r>
                    <w:t xml:space="preserve">Once a bidder comes into possession of non-public price-sensitive information, its ability to buy any shares before launching the bid may be hindered by insider trading restrictions.</w:t>
                  </w:r>
                </w:p>
                <w:p>
                  <w:pPr>
                    <w:pStyle w:val="BodyText"/>
                  </w:pPr>
                  <w:r>
                    <w:t xml:space="preserve">In a hostile bid, there will most likely be no opportunity to undertake detailed due diligence on the target, and the bidder has to take the risk that the target company's public announcements may be incomplete or may not be sufficiently detailed.</w:t>
                  </w:r>
                </w:p>
                <w:p>
                  <w:pPr>
                    <w:pStyle w:val="BodyText"/>
                  </w:pPr>
                  <w:r>
                    <w:rPr>
                      <w:b/>
                    </w:rPr>
                    <w:t xml:space="preserve">3.6 Confidentiality and standstill agreement</w:t>
                  </w:r>
                </w:p>
                <w:p>
                  <w:pPr>
                    <w:pStyle w:val="BodyText"/>
                  </w:pPr>
                  <w:r>
                    <w:t xml:space="preserve">A potential bidder will usually be required to enter into some form of confidentiality or non-disclosure agreement restricting its use and disclosure of the confidential information it receives.</w:t>
                  </w:r>
                </w:p>
                <w:p>
                  <w:pPr>
                    <w:pStyle w:val="BodyText"/>
                  </w:pPr>
                  <w:r>
                    <w:t xml:space="preserve">As a trade-off for granting due diligence access, a target company may require the potential bidder to agree to a standstill restriction. Standstills will generally last for up to 12 months and will prohibit the potential bidder from buying shares or launching a bid other than on terms which the target company's directors have approved. Care needs to be taken before agreeing to a standstill, as these agreements will be enforced by the Takeovers Panel. A bidder should therefore ensure that a standstill lasts for no longer than is necessary, and that it releases the Bidder in appropriate circumstances.</w:t>
                  </w:r>
                </w:p>
                <w:p>
                  <w:pPr>
                    <w:pStyle w:val="BodyText"/>
                  </w:pPr>
                  <w:r>
                    <w:t xml:space="preserve">Standstill agreements serve a number of purposes for a target company. They achieve a strategic goal for a target company by giving it some measure of control over the terms on which a takeover will occur. Furthermore, they provide some protection for the target company from potential liability for "tipping" under the insider trading provisions of the Corporations Act. "Tipping" is where a person discloses non-public, price- sensitive information to a person who the first person believes would be likely to acquire target company shares.</w:t>
                  </w:r>
                </w:p>
                <w:p>
                  <w:pPr>
                    <w:pStyle w:val="BodyText"/>
                  </w:pPr>
                  <w:r>
                    <w:rPr>
                      <w:b/>
                    </w:rPr>
                    <w:t xml:space="preserve">3.7 Pre-bid acquisitions</w:t>
                  </w:r>
                </w:p>
                <w:p>
                  <w:pPr>
                    <w:pStyle w:val="BodyText"/>
                  </w:pPr>
                  <w:r>
                    <w:t xml:space="preserve">A potential bidder may seek to acquire a relevant interest in the target company's shares in advance of acquiring shares under a control transaction.</w:t>
                  </w:r>
                </w:p>
                <w:p>
                  <w:pPr>
                    <w:pStyle w:val="BodyText"/>
                  </w:pPr>
                  <w:r>
                    <w:t xml:space="preserve">There are several benefits to a bidder in acquiring a pre-bid stake, including:</w:t>
                  </w:r>
                </w:p>
                <w:p>
                  <w:pPr>
                    <w:pStyle w:val="BodyText"/>
                  </w:pPr>
                  <w:pPr>
                    <w:pStyle w:val="ListParagraph"/>
                    <w:numPr>
                      <w:ilvl w:val="0"/>
                      <w:numId w:val="64"/>
                    </w:numPr>
                  </w:pPr>
                  <w:r>
                    <w:t xml:space="preserve">it forces the target company to take the bid seriously and engage with the bidder;</w:t>
                  </w:r>
                </w:p>
                <w:p>
                  <w:pPr>
                    <w:pStyle w:val="BodyText"/>
                  </w:pPr>
                  <w:pPr>
                    <w:pStyle w:val="ListParagraph"/>
                    <w:numPr>
                      <w:ilvl w:val="0"/>
                      <w:numId w:val="65"/>
                    </w:numPr>
                  </w:pPr>
                  <w:r>
                    <w:t xml:space="preserve">a bidder can deter potential rival bidders with a "blocking stake";</w:t>
                  </w:r>
                </w:p>
                <w:p>
                  <w:pPr>
                    <w:pStyle w:val="BodyText"/>
                  </w:pPr>
                  <w:pPr>
                    <w:pStyle w:val="ListParagraph"/>
                    <w:numPr>
                      <w:ilvl w:val="0"/>
                      <w:numId w:val="66"/>
                    </w:numPr>
                  </w:pPr>
                  <w:r>
                    <w:t xml:space="preserve">the bidder has a first-mover advantage if the bid turns competitive;</w:t>
                  </w:r>
                </w:p>
                <w:p>
                  <w:pPr>
                    <w:pStyle w:val="BodyText"/>
                  </w:pPr>
                  <w:pPr>
                    <w:pStyle w:val="ListParagraph"/>
                    <w:numPr>
                      <w:ilvl w:val="0"/>
                      <w:numId w:val="67"/>
                    </w:numPr>
                  </w:pPr>
                  <w:r>
                    <w:t xml:space="preserve">an existing holding counts towards the 90% compulsory acquisition threshold in a takeover bid; and</w:t>
                  </w:r>
                </w:p>
                <w:p>
                  <w:pPr>
                    <w:pStyle w:val="BodyText"/>
                  </w:pPr>
                  <w:pPr>
                    <w:pStyle w:val="ListParagraph"/>
                    <w:numPr>
                      <w:ilvl w:val="0"/>
                      <w:numId w:val="68"/>
                    </w:numPr>
                  </w:pPr>
                  <w:r>
                    <w:t xml:space="preserve">it can reduce the overall average acquisition cost if acquired at below the bid price.</w:t>
                  </w:r>
                </w:p>
                <w:p>
                  <w:pPr>
                    <w:pStyle w:val="BodyText"/>
                  </w:pPr>
                  <w:r>
                    <w:t xml:space="preserve">There are risks involved in acquiring a pre-bid stake. The following table outlines the key considerations in respect of a pre-bid acquisition.</w:t>
                  </w:r>
                </w:p>
                <w:tbl>
                  <w:pPr>
                    <w:pStyle w:val="BodyText"/>
                  </w:pPr>
                  <w:tblPr>
                    <w:tblStyle w:val="TableGrid"/>
                    <w:tblW w:w="5000" w:type="pct"/>
                  </w:tblPr>
                  <w:tblGrid>
                    <w:gridCol/>
                    <w:gridCol/>
                  </w:tblGrid>
                  <w:tr>
                    <w:tc>
                      <w:tcPr>
                        <w:tcW w:w="1500" w:type="pct"/>
                        <w:vAlign w:val="center"/>
                      </w:tcPr>
                      <w:p>
                        <w:r>
                          <w:rPr>
                            <w:b/>
                          </w:rPr>
                          <w:t xml:space="preserve">Consideration</w:t>
                        </w:r>
                      </w:p>
                    </w:tc>
                    <w:tc>
                      <w:tcPr>
                        <w:tcW w:w="3500" w:type="pct"/>
                        <w:vAlign w:val="center"/>
                      </w:tcPr>
                      <w:p>
                        <w:r>
                          <w:rPr>
                            <w:b/>
                          </w:rPr>
                          <w:t xml:space="preserve">Implications</w:t>
                        </w:r>
                      </w:p>
                    </w:tc>
                  </w:tr>
                  <w:tr>
                    <w:tc>
                      <w:tcPr>
                        <w:vAlign w:val="center"/>
                      </w:tcPr>
                      <w:p>
                        <w:r>
                          <w:rPr>
                            <w:b/>
                          </w:rPr>
                          <w:t xml:space="preserve">Substantial holding notice</w:t>
                        </w:r>
                      </w:p>
                    </w:tc>
                    <w:tc>
                      <w:tcPr>
                        <w:vAlign w:val="center"/>
                      </w:tcPr>
                      <w:p>
                        <w:r>
                          <w:t xml:space="preserve">If the prospective acquirer acquires 5% or more of the target shares, it must disclose details of its holding via the filing of a substantial holding notice.</w:t>
                        </w:r>
                      </w:p>
                    </w:tc>
                  </w:tr>
                  <w:tr>
                    <w:tc>
                      <w:tcPr>
                        <w:vAlign w:val="center"/>
                      </w:tcPr>
                      <w:p>
                        <w:r>
                          <w:rPr>
                            <w:b/>
                          </w:rPr>
                          <w:t xml:space="preserve">20% takeovers rule</w:t>
                        </w:r>
                      </w:p>
                    </w:tc>
                    <w:tc>
                      <w:tcPr>
                        <w:vAlign w:val="center"/>
                      </w:tcPr>
                      <w:p>
                        <w:r>
                          <w:t xml:space="preserve">The prospective acquirer must ensure that it does not have a relevant interest in more than 20% of the target shares, or otherwise voting power of more than 20% in the target, as a result of any pre-bid acquisitions.</w:t>
                        </w:r>
                      </w:p>
                    </w:tc>
                  </w:tr>
                  <w:tr>
                    <w:tc>
                      <w:tcPr>
                        <w:vAlign w:val="center"/>
                      </w:tcPr>
                      <w:p>
                        <w:r>
                          <w:rPr>
                            <w:b/>
                          </w:rPr>
                          <w:t xml:space="preserve">Foreign investment approval requirements</w:t>
                        </w:r>
                      </w:p>
                    </w:tc>
                    <w:tc>
                      <w:tcPr>
                        <w:vAlign w:val="center"/>
                      </w:tcPr>
                      <w:p>
                        <w:r>
                          <w:t xml:space="preserve">If the prospective acquirer is a non-Australian entity, in many circumstances the acquisition must also be approved by the Treasurer acting on the advice of FIRB.</w:t>
                        </w:r>
                      </w:p>
                    </w:tc>
                  </w:tr>
                  <w:tr>
                    <w:tc>
                      <w:tcPr>
                        <w:vAlign w:val="center"/>
                      </w:tcPr>
                      <w:p>
                        <w:r>
                          <w:rPr>
                            <w:b/>
                          </w:rPr>
                          <w:t xml:space="preserve">Insider trading</w:t>
                        </w:r>
                      </w:p>
                    </w:tc>
                    <w:tc>
                      <w:tcPr>
                        <w:vAlign w:val="center"/>
                      </w:tcPr>
                      <w:p>
                        <w:r>
                          <w:t xml:space="preserve">A bidder seeking to acquire a pre-bid stake must comply with Australian insider trading laws, which prohibit dealing in shares by persons who are in possession of material price-sensitive information that is not publicly available.</w:t>
                        </w:r>
                      </w:p>
                    </w:tc>
                  </w:tr>
                  <w:tr>
                    <w:tc>
                      <w:tcPr>
                        <w:vAlign w:val="center"/>
                      </w:tcPr>
                      <w:p>
                        <w:r>
                          <w:rPr>
                            <w:b/>
                          </w:rPr>
                          <w:t xml:space="preserve">Pricing issues</w:t>
                        </w:r>
                      </w:p>
                    </w:tc>
                    <w:tc>
                      <w:tcPr>
                        <w:vAlign w:val="center"/>
                      </w:tcPr>
                      <w:p>
                        <w:r>
                          <w:t xml:space="preserve">The price paid for any shares acquired in the four-month period prior to a bid being made will operate as a minimum price for the bid.</w:t>
                        </w:r>
                      </w:p>
                    </w:tc>
                  </w:tr>
                  <w:tr>
                    <w:tc>
                      <w:tcPr>
                        <w:vAlign w:val="center"/>
                      </w:tcPr>
                      <w:p>
                        <w:r>
                          <w:rPr>
                            <w:b/>
                          </w:rPr>
                          <w:t xml:space="preserve">Collateral benefits</w:t>
                        </w:r>
                      </w:p>
                    </w:tc>
                    <w:tc>
                      <w:tcPr>
                        <w:vAlign w:val="center"/>
                      </w:tcPr>
                      <w:p>
                        <w:r>
                          <w:t xml:space="preserve">The acquisition must not be on terms which offer a benefit selectively to some but not all shareholders as an inducement to accept a takeover offer.</w:t>
                        </w:r>
                      </w:p>
                    </w:tc>
                  </w:tr>
                  <w:tr>
                    <w:tc>
                      <w:tcPr>
                        <w:vAlign w:val="center"/>
                      </w:tcPr>
                      <w:p>
                        <w:r>
                          <w:rPr>
                            <w:b/>
                          </w:rPr>
                          <w:t xml:space="preserve">Association</w:t>
                        </w:r>
                      </w:p>
                    </w:tc>
                    <w:tc>
                      <w:tcPr>
                        <w:vAlign w:val="center"/>
                      </w:tcPr>
                      <w:p>
                        <w:r>
                          <w:t xml:space="preserve">The prospective acquirer must be mindful of any "agreement, arrangement or understanding" (written or otherwise) arising between it and any shareholder for the purposes of controlling or influencing a target's board or affairs or in relation to target shares.</w:t>
                        </w:r>
                      </w:p>
                    </w:tc>
                  </w:tr>
                </w:tbl>
                <w:p>
                  <w:pPr>
                    <w:pStyle w:val="BodyText"/>
                  </w:pPr>
                  <w:r>
                    <w:rPr>
                      <w:b/>
                    </w:rPr>
                    <w:t xml:space="preserve"> </w:t>
                  </w:r>
                  <w:r>
                    <w:rPr>
                      <w:b/>
                    </w:rPr>
                    <w:t xml:space="preserve">3.8 FIRB applications</w:t>
                  </w:r>
                </w:p>
                <w:p>
                  <w:pPr>
                    <w:pStyle w:val="BodyText"/>
                  </w:pPr>
                  <w:r>
                    <w:t xml:space="preserve">A fee is payable in relation to any application to FIRB for approval of a proposed transaction, at the time the application is submitted. The amount of any fee payable depends on the size of the proposed transaction. The FIRB application process comprises an online application process. The FIRB application process is conducted on a confidential basis.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Effecting a Takeover</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Effecting a Takeover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4.1 Structure of acquisitions in Australia</w:t>
                  </w:r>
                </w:p>
                <w:p>
                  <w:pPr>
                    <w:pStyle w:val="BodyText"/>
                  </w:pPr>
                  <w:r>
                    <w:t xml:space="preserve">A key strategic decision to make, for both the bidder and the target company in a control transaction, is which acquisition structure to use. It is possible to acquire the entire issued share capital of an Australian public company by two principal means: a takeover bid (the off-market version of which is like a "tender offer" in other jurisdictions) or a scheme of arrangement (which is like a "merger" in other jurisdictions).</w:t>
                  </w:r>
                </w:p>
                <w:p>
                  <w:pPr>
                    <w:pStyle w:val="BodyText"/>
                  </w:pPr>
                  <w:r>
                    <w:rPr>
                      <w:b/>
                    </w:rPr>
                    <w:t xml:space="preserve">4.2 Takeover bids</w:t>
                  </w:r>
                </w:p>
                <w:p>
                  <w:pPr>
                    <w:pStyle w:val="BodyText"/>
                  </w:pPr>
                  <w:r>
                    <w:t xml:space="preserve">A takeover bid is essentially a regulated offer to buy target company shares which is made on identical terms to each target company shareholder.</w:t>
                  </w:r>
                </w:p>
                <w:p>
                  <w:pPr>
                    <w:pStyle w:val="BodyText"/>
                  </w:pPr>
                  <w:r>
                    <w:t xml:space="preserve">There are two types of takeover bids in Australia: off-market bids and on-market bids. The key differences between these two methods are as follows:</w:t>
                  </w:r>
                </w:p>
                <w:tbl>
                  <w:pPr>
                    <w:pStyle w:val="BodyText"/>
                  </w:pPr>
                  <w:tblPr>
                    <w:tblStyle w:val="TableGrid"/>
                    <w:tblW w:w="5000" w:type="pct"/>
                  </w:tblPr>
                  <w:tblGrid>
                    <w:gridCol/>
                    <w:gridCol/>
                    <w:gridCol/>
                  </w:tblGrid>
                  <w:tr>
                    <w:tc>
                      <w:tcPr>
                        <w:tcW w:w="1500" w:type="pct"/>
                        <w:vAlign w:val="center"/>
                      </w:tcPr>
                      <w:p>
                        <w:r>
                          <w:rPr>
                            <w:b/>
                          </w:rPr>
                          <w:t xml:space="preserve">Consideration</w:t>
                        </w:r>
                      </w:p>
                    </w:tc>
                    <w:tc>
                      <w:tcPr>
                        <w:tcW w:w="1750" w:type="pct"/>
                        <w:vAlign w:val="center"/>
                      </w:tcPr>
                      <w:p>
                        <w:r>
                          <w:rPr>
                            <w:b/>
                          </w:rPr>
                          <w:t xml:space="preserve">Off-market bids</w:t>
                        </w:r>
                      </w:p>
                    </w:tc>
                    <w:tc>
                      <w:tcPr>
                        <w:tcW w:w="1750" w:type="pct"/>
                        <w:vAlign w:val="center"/>
                      </w:tcPr>
                      <w:p>
                        <w:r>
                          <w:rPr>
                            <w:b/>
                          </w:rPr>
                          <w:t xml:space="preserve">On-market bids</w:t>
                        </w:r>
                      </w:p>
                    </w:tc>
                  </w:tr>
                  <w:tr>
                    <w:tc>
                      <w:tcPr>
                        <w:vAlign w:val="top"/>
                      </w:tcPr>
                      <w:p>
                        <w:r>
                          <w:rPr>
                            <w:b/>
                          </w:rPr>
                          <w:t xml:space="preserve">Bid procedure</w:t>
                        </w:r>
                      </w:p>
                    </w:tc>
                    <w:tc>
                      <w:tcPr>
                        <w:vAlign w:val="top"/>
                      </w:tcPr>
                      <w:p>
                        <w:r>
                          <w:t xml:space="preserve">The offer is made by sending personalized, formal, written offers to every target company shareholder on identical terms. Shareholders accept by responding to the bidder.</w:t>
                        </w:r>
                      </w:p>
                    </w:tc>
                    <w:tc>
                      <w:tcPr>
                        <w:vAlign w:val="top"/>
                      </w:tcPr>
                      <w:p>
                        <w:r>
                          <w:t xml:space="preserve">The bidder stands in the stock market (using a stockbroker) offering to buy all target shares at the offer price. Shareholders accept by selling on-market in the normal way, and settle sales on a standard T+2 basis.</w:t>
                        </w:r>
                      </w:p>
                    </w:tc>
                  </w:tr>
                  <w:tr>
                    <w:tc>
                      <w:tcPr>
                        <w:vAlign w:val="top"/>
                      </w:tcPr>
                      <w:p>
                        <w:r>
                          <w:rPr>
                            <w:b/>
                          </w:rPr>
                          <w:t xml:space="preserve">Types of target</w:t>
                        </w:r>
                      </w:p>
                    </w:tc>
                    <w:tc>
                      <w:tcPr>
                        <w:vAlign w:val="top"/>
                      </w:tcPr>
                      <w:p>
                        <w:r>
                          <w:t xml:space="preserve">Listed or unlisted companies. Quoted or unquoted securities.</w:t>
                        </w:r>
                      </w:p>
                    </w:tc>
                    <w:tc>
                      <w:tcPr>
                        <w:vAlign w:val="top"/>
                      </w:tcPr>
                      <w:p>
                        <w:r>
                          <w:t xml:space="preserve">Listed companies and quoted securities only.</w:t>
                        </w:r>
                      </w:p>
                    </w:tc>
                  </w:tr>
                  <w:tr>
                    <w:tc>
                      <w:tcPr>
                        <w:vAlign w:val="top"/>
                      </w:tcPr>
                      <w:p>
                        <w:r>
                          <w:rPr>
                            <w:b/>
                          </w:rPr>
                          <w:t xml:space="preserve">Offer price</w:t>
                        </w:r>
                      </w:p>
                    </w:tc>
                    <w:tc>
                      <w:tcPr>
                        <w:vAlign w:val="top"/>
                      </w:tcPr>
                      <w:p>
                        <w:r>
                          <w:t xml:space="preserve">Cash, securities (shares, debentures, options, etc.) or any combination.</w:t>
                        </w:r>
                      </w:p>
                    </w:tc>
                    <w:tc>
                      <w:tcPr>
                        <w:vAlign w:val="top"/>
                      </w:tcPr>
                      <w:p>
                        <w:r>
                          <w:t xml:space="preserve">Cash only (like any on-market trade)</w:t>
                        </w:r>
                      </w:p>
                    </w:tc>
                  </w:tr>
                  <w:tr>
                    <w:tc>
                      <w:tcPr>
                        <w:vAlign w:val="top"/>
                      </w:tcPr>
                      <w:p>
                        <w:r>
                          <w:rPr>
                            <w:b/>
                          </w:rPr>
                          <w:t xml:space="preserve">Conditions</w:t>
                        </w:r>
                      </w:p>
                    </w:tc>
                    <w:tc>
                      <w:tcPr>
                        <w:vAlign w:val="top"/>
                      </w:tcPr>
                      <w:p>
                        <w:r>
                          <w:t xml:space="preserve">Can be conditional on a wide range of events, subject to some limitations.</w:t>
                        </w:r>
                      </w:p>
                      <w:p>
                        <w:r>
                          <w:t xml:space="preserve">Common conditions include acceptances reaching a control or compulsory acquisition level, obtaining regulatory approvals and no "material adverse change".</w:t>
                        </w:r>
                      </w:p>
                    </w:tc>
                    <w:tc>
                      <w:tcPr>
                        <w:vAlign w:val="top"/>
                      </w:tcPr>
                      <w:p>
                        <w:r>
                          <w:t xml:space="preserve">Must be unconditional.</w:t>
                        </w:r>
                      </w:p>
                      <w:p>
                        <w:r>
                          <w:t xml:space="preserve">If a bidder requires foreign investment or competition regulatory approvals, an on-market bid may not be feasible.</w:t>
                        </w:r>
                      </w:p>
                    </w:tc>
                  </w:tr>
                  <w:tr>
                    <w:tc>
                      <w:tcPr>
                        <w:vAlign w:val="top"/>
                      </w:tcPr>
                      <w:p>
                        <w:r>
                          <w:rPr>
                            <w:b/>
                          </w:rPr>
                          <w:t xml:space="preserve">Partial bids</w:t>
                        </w:r>
                      </w:p>
                    </w:tc>
                    <w:tc>
                      <w:tcPr>
                        <w:vAlign w:val="top"/>
                      </w:tcPr>
                      <w:p>
                        <w:r>
                          <w:t xml:space="preserve">Offer can be a full bid for 100% of each holder's shares, or a partial offer for up to a fixed proportion (such as 50%) of each holder's shares.</w:t>
                        </w:r>
                      </w:p>
                    </w:tc>
                    <w:tc>
                      <w:tcPr>
                        <w:vAlign w:val="top"/>
                      </w:tcPr>
                      <w:p>
                        <w:r>
                          <w:t xml:space="preserve">Not possible – the offer must be for 100% of target shares.</w:t>
                        </w:r>
                      </w:p>
                    </w:tc>
                  </w:tr>
                </w:tbl>
                <w:p>
                  <w:pPr>
                    <w:pStyle w:val="BodyText"/>
                  </w:pPr>
                  <w:r>
                    <w:t xml:space="preserve">An off-market takeover bid is more commonly used than an on-market bid as it allows for flexibility in the offer structure, particularly due to the conditions that a bidder may impose.</w:t>
                  </w:r>
                </w:p>
                <w:p>
                  <w:pPr>
                    <w:pStyle w:val="BodyText"/>
                  </w:pPr>
                  <w:pPr>
                    <w:pStyle w:val="ListParagraph"/>
                    <w:numPr>
                      <w:ilvl w:val="0"/>
                      <w:numId w:val="17"/>
                    </w:numPr>
                  </w:pPr>
                  <w:r>
                    <w:t xml:space="preserve">Rules applicable to all takeover bids</w:t>
                  </w:r>
                </w:p>
                <w:p>
                  <w:pPr>
                    <w:pStyle w:val="BodyText"/>
                  </w:pPr>
                  <w:r>
                    <w:t xml:space="preserve">Both types of takeover bid share a number of common characteristics, including the following:</w:t>
                  </w:r>
                </w:p>
                <w:p>
                  <w:pPr>
                    <w:pStyle w:val="BodyText"/>
                  </w:pPr>
                  <w:pPr>
                    <w:pStyle w:val="ListParagraph"/>
                    <w:numPr>
                      <w:ilvl w:val="1"/>
                      <w:numId w:val="18"/>
                    </w:numPr>
                    <w:ind w:left="1560"/>
                  </w:pPr>
                  <w:r>
                    <w:t xml:space="preserve">Announcing a bid – Once a bidder publicly announces a proposal to make a takeover bid, it must make takeover offers within two months on terms no less favorable than the announced terms.</w:t>
                  </w:r>
                </w:p>
                <w:p>
                  <w:pPr>
                    <w:pStyle w:val="BodyText"/>
                  </w:pPr>
                  <w:pPr>
                    <w:pStyle w:val="ListParagraph"/>
                    <w:numPr>
                      <w:ilvl w:val="1"/>
                      <w:numId w:val="19"/>
                    </w:numPr>
                    <w:ind w:left="1560"/>
                  </w:pPr>
                  <w:r>
                    <w:t xml:space="preserve">Offer period – The takeover offer must be open for at least one month. Either kind of bid can be extended one or more times by the bidder up to a maximum offer period of 12 months. An extension of a conditional off-market offer by more than one month (in total) will give shareholders who had already accepted the offer a right to withdraw their acceptance. In some circumstances, the offer will be automatically extended by up to 14 days by operation of the Corporations Act.</w:t>
                  </w:r>
                </w:p>
                <w:p>
                  <w:pPr>
                    <w:pStyle w:val="BodyText"/>
                  </w:pPr>
                  <w:pPr>
                    <w:pStyle w:val="ListParagraph"/>
                    <w:numPr>
                      <w:ilvl w:val="1"/>
                      <w:numId w:val="20"/>
                    </w:numPr>
                    <w:ind w:left="1560"/>
                  </w:pPr>
                  <w:r>
                    <w:t xml:space="preserve">Offer price – The same price must be offered to all shareholders, and the bidder may increase the price during the bid. Under an off-market bid, the increased price must be paid to all shareholders who accept the offer, even those who accepted before the bid price was increased. However, under an on-market bid, the increased price is paid only to those shareholders who accept the offer after the price has been increased.</w:t>
                  </w:r>
                </w:p>
                <w:p>
                  <w:pPr>
                    <w:pStyle w:val="BodyText"/>
                  </w:pPr>
                  <w:pPr>
                    <w:pStyle w:val="ListParagraph"/>
                    <w:numPr>
                      <w:ilvl w:val="1"/>
                      <w:numId w:val="21"/>
                    </w:numPr>
                    <w:ind w:left="1560"/>
                  </w:pPr>
                  <w:r>
                    <w:t xml:space="preserve">Disclosure documents – The offers, when made, must be accompanied by a disclosure document called a Bidder's Statement. The target company responds with its own disclosure document called a Target's Statement.</w:t>
                  </w:r>
                </w:p>
                <w:p>
                  <w:pPr>
                    <w:pStyle w:val="BodyText"/>
                  </w:pPr>
                  <w:pPr>
                    <w:pStyle w:val="ListParagraph"/>
                    <w:numPr>
                      <w:ilvl w:val="1"/>
                      <w:numId w:val="22"/>
                    </w:numPr>
                    <w:ind w:left="1560"/>
                  </w:pPr>
                  <w:r>
                    <w:t xml:space="preserve">Selective benefits – There is a restriction on providing benefits during the offer period to some target company shareholders without extending the benefits to all shareholders.</w:t>
                  </w:r>
                </w:p>
                <w:p>
                  <w:pPr>
                    <w:pStyle w:val="BodyText"/>
                  </w:pPr>
                  <w:pPr>
                    <w:pStyle w:val="ListParagraph"/>
                    <w:numPr>
                      <w:ilvl w:val="1"/>
                      <w:numId w:val="23"/>
                    </w:numPr>
                    <w:ind w:left="1560"/>
                  </w:pPr>
                  <w:r>
                    <w:t xml:space="preserve">Sale of shares by bidder – The bidder is not permitted to dispose of any target company shares during the bid period, unless another non-associated bidder makes or increases a competing takeover bid for the target company.</w:t>
                  </w:r>
                </w:p>
                <w:p>
                  <w:pPr>
                    <w:pStyle w:val="BodyText"/>
                  </w:pPr>
                  <w:pPr>
                    <w:pStyle w:val="ListParagraph"/>
                    <w:numPr>
                      <w:ilvl w:val="1"/>
                      <w:numId w:val="24"/>
                    </w:numPr>
                    <w:ind w:left="1560"/>
                  </w:pPr>
                  <w:r>
                    <w:t xml:space="preserve">Compulsory acquisition – Following a bid, the bidder will generally be able to compulsorily acquire the shares held by the remaining minority shareholders at the bid price if it achieves at least a 90% holding in the target.</w:t>
                  </w:r>
                </w:p>
                <w:p>
                  <w:pPr>
                    <w:pStyle w:val="BodyText"/>
                  </w:pPr>
                  <w:pPr>
                    <w:pStyle w:val="ListParagraph"/>
                    <w:numPr>
                      <w:ilvl w:val="0"/>
                      <w:numId w:val="17"/>
                    </w:numPr>
                  </w:pPr>
                  <w:r>
                    <w:t xml:space="preserve">The bid price</w:t>
                  </w:r>
                </w:p>
                <w:p>
                  <w:pPr>
                    <w:pStyle w:val="BodyText"/>
                  </w:pPr>
                  <w:r>
                    <w:t xml:space="preserve">The bid price must equal or exceed the highest price paid (or agreed to be paid) by the bidder or any of its associates during the four months before the date of the bid. If two or more alternatives are offered (for example, cash or scrip), then the value of each alternative must comply with the minimum price rule.</w:t>
                  </w:r>
                </w:p>
                <w:p>
                  <w:pPr>
                    <w:pStyle w:val="BodyText"/>
                  </w:pPr>
                  <w:r>
                    <w:t xml:space="preserve">In the event that the bidder acquires shares in the target company on the market (as permitted by the Corporations Act) during the offer period and the consideration for shares purchased on the market is higher than under the takeover offer, the offer to all other target shareholders is increased and the additional amount is payable to those who have already accepted the offer.</w:t>
                  </w:r>
                </w:p>
                <w:p>
                  <w:pPr>
                    <w:pStyle w:val="BodyText"/>
                  </w:pPr>
                  <w:pPr>
                    <w:pStyle w:val="ListParagraph"/>
                    <w:numPr>
                      <w:ilvl w:val="0"/>
                      <w:numId w:val="17"/>
                    </w:numPr>
                  </w:pPr>
                  <w:r>
                    <w:t xml:space="preserve">Conditions precedent in a takeover offer</w:t>
                  </w:r>
                </w:p>
                <w:p>
                  <w:pPr>
                    <w:pStyle w:val="BodyText"/>
                  </w:pPr>
                  <w:r>
                    <w:t xml:space="preserve">Off-market takeover bids may be subject to conditions precedent. On-market bids, however, must be unconditional. Off-market bids are usually subject to a number of conditions, including a minimum acceptance condition (generally either 50.1% for control or 90% for compulsory acquisition), a condition that the target does not announce any material adverse change in its financial position during the bid period, and a condition that all necessary regulatory approvals are obtained. Bids can also be conditional on external events, such as a fall in a specified market index.</w:t>
                  </w:r>
                </w:p>
                <w:p>
                  <w:pPr>
                    <w:pStyle w:val="BodyText"/>
                  </w:pPr>
                  <w:r>
                    <w:t xml:space="preserve">However, the Corporations Act provides that conditions of the following kind cannot be included:</w:t>
                  </w:r>
                </w:p>
                <w:p>
                  <w:pPr>
                    <w:pStyle w:val="BodyText"/>
                  </w:pPr>
                  <w:pPr>
                    <w:pStyle w:val="ListParagraph"/>
                    <w:numPr>
                      <w:ilvl w:val="1"/>
                      <w:numId w:val="25"/>
                    </w:numPr>
                    <w:ind w:left="1560"/>
                  </w:pPr>
                  <w:r>
                    <w:t xml:space="preserve">a maximum acceptance condition (for example, a condition that the bidder is not obliged to proceed if acceptances are received for more than a specified percentage of shares);</w:t>
                  </w:r>
                </w:p>
                <w:p>
                  <w:pPr>
                    <w:pStyle w:val="BodyText"/>
                  </w:pPr>
                  <w:pPr>
                    <w:pStyle w:val="ListParagraph"/>
                    <w:numPr>
                      <w:ilvl w:val="1"/>
                      <w:numId w:val="25"/>
                    </w:numPr>
                    <w:ind w:left="1560"/>
                  </w:pPr>
                  <w:r>
                    <w:t xml:space="preserve">a condition that allows the bidder to acquire shares from some, but not all, of the shareholders who accept the bid;</w:t>
                  </w:r>
                </w:p>
                <w:p>
                  <w:pPr>
                    <w:pStyle w:val="BodyText"/>
                  </w:pPr>
                  <w:pPr>
                    <w:pStyle w:val="ListParagraph"/>
                    <w:numPr>
                      <w:ilvl w:val="1"/>
                      <w:numId w:val="25"/>
                    </w:numPr>
                    <w:ind w:left="1560"/>
                  </w:pPr>
                  <w:r>
                    <w:t xml:space="preserve">a condition that target company shareholders approve or consent to a retirement payment being made by the target to any officer of the target company; and</w:t>
                  </w:r>
                </w:p>
                <w:p>
                  <w:pPr>
                    <w:pStyle w:val="BodyText"/>
                  </w:pPr>
                  <w:pPr>
                    <w:pStyle w:val="ListParagraph"/>
                    <w:numPr>
                      <w:ilvl w:val="1"/>
                      <w:numId w:val="25"/>
                    </w:numPr>
                    <w:ind w:left="1560"/>
                  </w:pPr>
                  <w:r>
                    <w:t xml:space="preserve">a condition which is dependent upon the opinion, belief or other state of mind of, or an event that is within the sole control of, the bidder or any of its associates. For example, a condition that the bidder is "satisfied" with the results of its due diligence on the target company could not be included.</w:t>
                  </w:r>
                </w:p>
                <w:p>
                  <w:pPr>
                    <w:pStyle w:val="BodyText"/>
                  </w:pPr>
                  <w:pPr>
                    <w:pStyle w:val="ListParagraph"/>
                    <w:numPr>
                      <w:ilvl w:val="0"/>
                      <w:numId w:val="17"/>
                    </w:numPr>
                  </w:pPr>
                  <w:r>
                    <w:t xml:space="preserve">Bidder's disclosure obligations</w:t>
                  </w:r>
                </w:p>
                <w:p>
                  <w:pPr>
                    <w:pStyle w:val="BodyText"/>
                  </w:pPr>
                  <w:r>
                    <w:t xml:space="preserve">The Corporations Act requires that a Bidder's Statement must be sent by the bidder to all target company shareholders with its offer. The document must include a range of specific information, as well as general disclosure of all information (including confidential information) known to the bidder that would be material to a decision regarding the acceptance of the offer.</w:t>
                  </w:r>
                </w:p>
                <w:p>
                  <w:pPr>
                    <w:pStyle w:val="BodyText"/>
                  </w:pPr>
                  <w:r>
                    <w:t xml:space="preserve">The key specific disclosure requirements are:</w:t>
                  </w:r>
                </w:p>
                <w:p>
                  <w:pPr>
                    <w:pStyle w:val="BodyText"/>
                  </w:pPr>
                  <w:pPr>
                    <w:pStyle w:val="ListParagraph"/>
                    <w:numPr>
                      <w:ilvl w:val="1"/>
                      <w:numId w:val="26"/>
                    </w:numPr>
                    <w:ind w:left="1560"/>
                  </w:pPr>
                  <w:r>
                    <w:t xml:space="preserve">the identity of the bidder, including its controllers and associates;</w:t>
                  </w:r>
                </w:p>
                <w:p>
                  <w:pPr>
                    <w:pStyle w:val="BodyText"/>
                  </w:pPr>
                  <w:pPr>
                    <w:pStyle w:val="ListParagraph"/>
                    <w:numPr>
                      <w:ilvl w:val="1"/>
                      <w:numId w:val="26"/>
                    </w:numPr>
                    <w:ind w:left="1560"/>
                  </w:pPr>
                  <w:r>
                    <w:t xml:space="preserve">the bidder's intentions regarding the continuation of the business of the target company, the future employment of the present employees of the target company, and details of the changes that may be made to the business of the target (such as any proposed restructuring or sale of non- core divisions); and</w:t>
                  </w:r>
                </w:p>
                <w:p>
                  <w:pPr>
                    <w:pStyle w:val="BodyText"/>
                  </w:pPr>
                  <w:pPr>
                    <w:pStyle w:val="ListParagraph"/>
                    <w:numPr>
                      <w:ilvl w:val="1"/>
                      <w:numId w:val="26"/>
                    </w:numPr>
                    <w:ind w:left="1560"/>
                  </w:pPr>
                  <w:r>
                    <w:t xml:space="preserve">if the bid price includes cash, details of the bidder's source of cash funding.</w:t>
                  </w:r>
                </w:p>
                <w:p>
                  <w:pPr>
                    <w:pStyle w:val="BodyText"/>
                  </w:pPr>
                  <w:pPr>
                    <w:pStyle w:val="ListParagraph"/>
                    <w:numPr>
                      <w:ilvl w:val="0"/>
                      <w:numId w:val="17"/>
                    </w:numPr>
                  </w:pPr>
                  <w:r>
                    <w:t xml:space="preserve">Target's disclosure obligations</w:t>
                  </w:r>
                </w:p>
                <w:p>
                  <w:pPr>
                    <w:pStyle w:val="BodyText"/>
                  </w:pPr>
                  <w:r>
                    <w:t xml:space="preserve">The directors of the target company must issue a Target's Statement in response to the Bidder's Statement, which similarly has both specific and general disclosure obligations. The specific disclosure obligations include a recommendation from each target company director as to whether or not the bid should be accepted, together with reasons for that recommendation. The general disclosure obligation requires disclosure of all information known to directors of the target company which target shareholders and their professional advisers would reasonably require to make an informed decision in relation to the takeover bid. As with the Bidder's Statement, this includes material information which is otherwise confidential.</w:t>
                  </w:r>
                </w:p>
                <w:p>
                  <w:pPr>
                    <w:pStyle w:val="BodyText"/>
                  </w:pPr>
                  <w:r>
                    <w:t xml:space="preserve">The directors' recommendations are important disclosures because it is common for some target shareholders to pay particular regard to the views of the board. The prospect of securing a favorable recommendation from target company directors (that is, a "friendly" bid) will often be attractive to a bidder. Accordingly, it is essential that the disclosure surrounding the directors' recommendations is fully explained and reasoned.</w:t>
                  </w:r>
                </w:p>
                <w:p>
                  <w:pPr>
                    <w:pStyle w:val="BodyText"/>
                  </w:pPr>
                  <w:r>
                    <w:t xml:space="preserve">A Target's Statement must include an independent expert's report opining on whether the takeover bid is "fair and reasonable" in circumstances where the bidder's voting power in the target company is 30% or more, if the bidder is a director of the target company or if the bidder has a director in common with the target company. Even where an independent expert's report is not required by law, it is common for target companies to include such a report in the Target's Statement.</w:t>
                  </w:r>
                </w:p>
                <w:p>
                  <w:pPr>
                    <w:pStyle w:val="BodyText"/>
                  </w:pPr>
                  <w:pPr>
                    <w:pStyle w:val="ListParagraph"/>
                    <w:numPr>
                      <w:ilvl w:val="0"/>
                      <w:numId w:val="17"/>
                    </w:numPr>
                  </w:pPr>
                  <w:r>
                    <w:t xml:space="preserve">Updating disclosure documents</w:t>
                  </w:r>
                </w:p>
                <w:p>
                  <w:pPr>
                    <w:pStyle w:val="BodyText"/>
                  </w:pPr>
                  <w:r>
                    <w:t xml:space="preserve">There is a general obligation on the bidder and target to update their respective Bidder's Statement or Target's Statement if, during the bid period, they become aware of a new matter that is material to target shareholders.</w:t>
                  </w:r>
                </w:p>
                <w:p>
                  <w:pPr>
                    <w:pStyle w:val="BodyText"/>
                  </w:pPr>
                  <w:r>
                    <w:t xml:space="preserve">The update is made by preparing a supplementary statement, which is lodged with ASIC and sent to the ASX for public release.</w:t>
                  </w:r>
                </w:p>
                <w:p>
                  <w:pPr>
                    <w:pStyle w:val="BodyText"/>
                  </w:pPr>
                  <w:r>
                    <w:rPr>
                      <w:b/>
                    </w:rPr>
                    <w:t xml:space="preserve">4.3 Schemes of arrangement</w:t>
                  </w:r>
                </w:p>
                <w:p>
                  <w:pPr>
                    <w:pStyle w:val="BodyText"/>
                  </w:pPr>
                  <w:r>
                    <w:t xml:space="preserve">An alternative acquisition structure to a takeover bid is a "scheme of arrangement" (sometimes called a merger). A scheme is a court-approved form of corporate reconstruction. The scheme structure involves a shareholder vote rather than offers being made to, and accepted by, each shareholder individually (as is the case in a takeover bid) and, depending on the outcome of the vote, it delivers an "all or nothing" result. If it is approved by shareholders and by the court, the scheme of arrangement binds all of the target company's shareholders, including those who voted against it (or did not vote at all). Conversely, if a scheme is not approved, then it does not become effective, even for those shareholders who voted in favor of the scheme.</w:t>
                  </w:r>
                </w:p>
                <w:p>
                  <w:pPr>
                    <w:pStyle w:val="BodyText"/>
                  </w:pPr>
                  <w:r>
                    <w:t xml:space="preserve">The mechanics of a scheme usually involve a transfer of all existing target shares to the bidder in exchange for the offer price which, like a takeover, can involve cash, securities, or any combination of the two. Schemes can also provide for the cancellation of all target shares other than those held by the bidder. In either case, the target company becomes a wholly owned subsidiary of the bidder. The target company does not "merge into" the bidder and cease to exist, unlike the merger procedure in certain other jurisdictions.</w:t>
                  </w:r>
                </w:p>
                <w:p>
                  <w:pPr>
                    <w:pStyle w:val="BodyText"/>
                  </w:pPr>
                  <w:r>
                    <w:t xml:space="preserve">As it is the target company which has to prepare the scheme documents, apply to the court and convene the shareholders' meeting, a scheme cannot be used for a hostile takeover.</w:t>
                  </w:r>
                </w:p>
                <w:p>
                  <w:pPr>
                    <w:pStyle w:val="BodyText"/>
                  </w:pPr>
                  <w:pPr>
                    <w:pStyle w:val="ListParagraph"/>
                    <w:numPr>
                      <w:ilvl w:val="0"/>
                      <w:numId w:val="27"/>
                    </w:numPr>
                  </w:pPr>
                  <w:r>
                    <w:t xml:space="preserve">Overview of the scheme procedure</w:t>
                  </w:r>
                </w:p>
                <w:p>
                  <w:pPr>
                    <w:pStyle w:val="BodyText"/>
                  </w:pPr>
                  <w:r>
                    <w:t xml:space="preserve">A scheme of arrangement is a seven-step process:</w:t>
                  </w:r>
                </w:p>
                <w:tbl>
                  <w:pPr>
                    <w:pStyle w:val="BodyText"/>
                  </w:pPr>
                  <w:tblPr>
                    <w:tblStyle w:val="TableGrid"/>
                    <w:tblW w:w="9790" w:type="dxa"/>
                  </w:tblPr>
                  <w:tblGrid>
                    <w:gridCol/>
                  </w:tblGrid>
                  <w:tr>
                    <w:tc>
                      <w:tcPr>
                        <w:tcW w:w="9655" w:type="dxa"/>
                        <w:vAlign w:val="center"/>
                      </w:tcPr>
                      <w:p>
                        <w:r>
                          <w:t xml:space="preserve">Step</w:t>
                        </w:r>
                      </w:p>
                    </w:tc>
                  </w:tr>
                  <w:tr>
                    <w:tc>
                      <w:tcPr>
                        <w:tcW w:w="9655" w:type="dxa"/>
                        <w:vAlign w:val="center"/>
                      </w:tcPr>
                      <w:p>
                        <w:r>
                          <w:t xml:space="preserve">1. Agree a transaction with a bidder: </w:t>
                        </w:r>
                      </w:p>
                    </w:tc>
                  </w:tr>
                  <w:tr>
                    <w:tc>
                      <w:tcPr>
                        <w:tcW w:w="9655" w:type="dxa"/>
                        <w:vAlign w:val="center"/>
                      </w:tcPr>
                      <w:p>
                        <w:pPr>
                          <w:pStyle w:val="ListParagraph"/>
                          <w:numPr>
                            <w:ilvl w:val="1"/>
                            <w:numId w:val="28"/>
                          </w:numPr>
                          <w:ind w:left="1560"/>
                        </w:pPr>
                        <w:r>
                          <w:t xml:space="preserve">Following due diligence and any other pre-bid steps, the first stage in the process is for the bidder and the target to negotiate and execute a Scheme Implementation Agreement and announce the transaction.</w:t>
                        </w:r>
                      </w:p>
                      <w:p>
                        <w:pPr>
                          <w:pStyle w:val="ListParagraph"/>
                          <w:numPr>
                            <w:ilvl w:val="1"/>
                            <w:numId w:val="29"/>
                          </w:numPr>
                          <w:ind w:left="1560"/>
                        </w:pPr>
                        <w:r>
                          <w:t xml:space="preserve">Once the deal has been agreed and the Scheme Implementation Agreement is signed, the target effectively leads each further step in the scheme process. The Scheme Implementation Agreement sets the commercial parameters of the transaction and, importantly, provides a bidder with some level of contractual control over the scheme process to ensure that the scheme is conducted appropriately and in accordance with the agreed terms of the deal. The target, however, has the greatest degree of control over implementation of the transaction.</w:t>
                        </w:r>
                      </w:p>
                    </w:tc>
                  </w:tr>
                  <w:tr>
                    <w:tc>
                      <w:tcPr>
                        <w:tcW w:w="9655" w:type="dxa"/>
                        <w:vAlign w:val="center"/>
                      </w:tcPr>
                      <w:p>
                        <w:r>
                          <w:t xml:space="preserve">2. Prepare a draft Scheme Booklet for shareholders:</w:t>
                        </w:r>
                      </w:p>
                      <w:p>
                        <w:pPr>
                          <w:pStyle w:val="ListParagraph"/>
                          <w:numPr>
                            <w:ilvl w:val="1"/>
                            <w:numId w:val="30"/>
                          </w:numPr>
                          <w:ind w:left="1560"/>
                        </w:pPr>
                        <w:r>
                          <w:t xml:space="preserve">The Scheme Booklet is the combined notice of meeting, disclosure document and independent expert's report to be sent to target company shareholders for the purposes of convening a general meeting to vote on the scheme.</w:t>
                        </w:r>
                      </w:p>
                    </w:tc>
                  </w:tr>
                  <w:tr>
                    <w:tc>
                      <w:tcPr>
                        <w:tcW w:w="9655" w:type="dxa"/>
                        <w:vAlign w:val="center"/>
                      </w:tcPr>
                      <w:p>
                        <w:r>
                          <w:t xml:space="preserve">3. ASIC review and approval of Scheme Booklet:</w:t>
                        </w:r>
                      </w:p>
                      <w:p>
                        <w:pPr>
                          <w:pStyle w:val="ListParagraph"/>
                          <w:numPr>
                            <w:ilvl w:val="1"/>
                            <w:numId w:val="31"/>
                          </w:numPr>
                          <w:ind w:left="1560"/>
                        </w:pPr>
                        <w:r>
                          <w:t xml:space="preserve">ASIC is entitled to review the Scheme Booklet for at least 14 days (or longer in the case of more complex schemes) prior to the first court hearing and to have an opportunity to make submissions to the court in relation to the scheme and explanatory statement.</w:t>
                        </w:r>
                      </w:p>
                      <w:p>
                        <w:pPr>
                          <w:pStyle w:val="ListParagraph"/>
                          <w:numPr>
                            <w:ilvl w:val="1"/>
                            <w:numId w:val="31"/>
                          </w:numPr>
                          <w:ind w:left="1560"/>
                        </w:pPr>
                        <w:r>
                          <w:t xml:space="preserve">ASIC's role is to assist the court to review the content of the scheme documents and the terms of the scheme, and to represent the interests of shareholders. This is because ASIC may be the only party appearing at the court hearing other than the target company and the bidder. ASIC also aims to ensure that all matters that are relevant to the court's decision are properly brought to the court's attention. For this reason, any complex, novel or uncertain issues in the scheme or scheme documents should be brought to ASIC's attention early, so as to ensure that ASIC can consider them before the hearing and advise the court that it has no objections to the scheme.</w:t>
                        </w:r>
                      </w:p>
                    </w:tc>
                  </w:tr>
                  <w:tr>
                    <w:tc>
                      <w:tcPr>
                        <w:tcW w:w="9655" w:type="dxa"/>
                        <w:vAlign w:val="center"/>
                      </w:tcPr>
                      <w:p>
                        <w:r>
                          <w:t xml:space="preserve">4. First court hearing:</w:t>
                        </w:r>
                      </w:p>
                      <w:p>
                        <w:pPr>
                          <w:pStyle w:val="ListParagraph"/>
                          <w:numPr>
                            <w:ilvl w:val="1"/>
                            <w:numId w:val="32"/>
                          </w:numPr>
                          <w:ind w:left="1560"/>
                        </w:pPr>
                        <w:r>
                          <w:t xml:space="preserve">The target company must apply to the court for approval to convene the shareholders' meeting to consider and vote on the scheme, and to approve the draft Scheme Booklet. This first court hearing is generally held at the end of ASIC's 14-day review period.</w:t>
                        </w:r>
                      </w:p>
                      <w:p>
                        <w:pPr>
                          <w:pStyle w:val="ListParagraph"/>
                          <w:numPr>
                            <w:ilvl w:val="1"/>
                            <w:numId w:val="33"/>
                          </w:numPr>
                          <w:ind w:left="1560"/>
                        </w:pPr>
                        <w:r>
                          <w:t xml:space="preserve">In assessing whether or not to approve the Scheme Booklet and order a shareholders' meeting to be convened, the court will consider the structure of the proposed scheme, the adequacy of information and disclosures in the Scheme Booklet, and any objections or submissions from ASIC or other parties.</w:t>
                        </w:r>
                      </w:p>
                    </w:tc>
                  </w:tr>
                  <w:tr>
                    <w:tc>
                      <w:tcPr>
                        <w:tcW w:w="9655" w:type="dxa"/>
                        <w:vAlign w:val="center"/>
                      </w:tcPr>
                      <w:p>
                        <w:r>
                          <w:t xml:space="preserve">5. Shareholder meeting and vote:</w:t>
                        </w:r>
                      </w:p>
                      <w:p>
                        <w:pPr>
                          <w:pStyle w:val="ListParagraph"/>
                          <w:numPr>
                            <w:ilvl w:val="1"/>
                            <w:numId w:val="34"/>
                          </w:numPr>
                          <w:ind w:left="1560"/>
                        </w:pPr>
                        <w:r>
                          <w:t xml:space="preserve"> The shareholder approval thresholds for a scheme are:</w:t>
                        </w:r>
                      </w:p>
                      <w:p>
                        <w:pPr>
                          <w:pStyle w:val="ListParagraph"/>
                          <w:numPr>
                            <w:ilvl w:val="2"/>
                            <w:numId w:val="35"/>
                          </w:numPr>
                          <w:ind w:left="2340"/>
                        </w:pPr>
                        <w:r>
                          <w:t xml:space="preserve">approval from more than 50% of the number of shareholders who vote at the meeting, regardless of how many shares they hold; and</w:t>
                        </w:r>
                      </w:p>
                      <w:p>
                        <w:pPr>
                          <w:pStyle w:val="ListParagraph"/>
                          <w:numPr>
                            <w:ilvl w:val="2"/>
                            <w:numId w:val="35"/>
                          </w:numPr>
                          <w:ind w:left="2340"/>
                        </w:pPr>
                        <w:r>
                          <w:t xml:space="preserve">a special resolution of shareholders, which requires at least 75% of the number of votes cast on the resolution to be in favor of the scheme. Scheme votes are taken on a poll, which means that this test requires approval by at least 75% of the shares that are voted on the resolution.</w:t>
                        </w:r>
                      </w:p>
                      <w:p>
                        <w:pPr>
                          <w:pStyle w:val="ListParagraph"/>
                          <w:numPr>
                            <w:ilvl w:val="1"/>
                            <w:numId w:val="36"/>
                          </w:numPr>
                          <w:ind w:left="1560"/>
                        </w:pPr>
                        <w:r>
                          <w:t xml:space="preserve">In each case, the voting threshold is based on only those shareholders or shares which are actually voted (either in person or by proxy). Shares which are not voted do not count as "no" votes. The scheme meeting vote binds all shareholders, whether or not they vote on it.</w:t>
                        </w:r>
                      </w:p>
                    </w:tc>
                  </w:tr>
                  <w:tr>
                    <w:tc>
                      <w:tcPr>
                        <w:tcW w:w="9655" w:type="dxa"/>
                        <w:vAlign w:val="center"/>
                      </w:tcPr>
                      <w:p>
                        <w:r>
                          <w:t xml:space="preserve">6. Second court hearing:</w:t>
                        </w:r>
                      </w:p>
                      <w:p>
                        <w:pPr>
                          <w:pStyle w:val="ListParagraph"/>
                          <w:numPr>
                            <w:ilvl w:val="1"/>
                            <w:numId w:val="37"/>
                          </w:numPr>
                          <w:ind w:left="1560"/>
                        </w:pPr>
                        <w:r>
                          <w:t xml:space="preserve">Once shareholders have voted to approve the scheme, a second court hearing will be held soon afterwards, at which the court will be asked to approve the scheme in order for it to become effective.</w:t>
                        </w:r>
                      </w:p>
                      <w:p>
                        <w:pPr>
                          <w:pStyle w:val="ListParagraph"/>
                          <w:numPr>
                            <w:ilvl w:val="1"/>
                            <w:numId w:val="38"/>
                          </w:numPr>
                          <w:ind w:left="1560"/>
                        </w:pPr>
                        <w:r>
                          <w:t xml:space="preserve">The court's focus at the second hearing is primarily on ensuring that the procedural and voting requirements for the shareholders' meeting were complied with. The court will also seek confirmation from the target and bidder that all conditions precedent in the Scheme Implementation Agreement have been satisfied.</w:t>
                        </w:r>
                      </w:p>
                    </w:tc>
                  </w:tr>
                  <w:tr>
                    <w:tc>
                      <w:tcPr>
                        <w:tcW w:w="9655" w:type="dxa"/>
                        <w:vAlign w:val="center"/>
                      </w:tcPr>
                      <w:p>
                        <w:r>
                          <w:t xml:space="preserve">7. ASIC lodgment and scheme implemented:</w:t>
                        </w:r>
                      </w:p>
                      <w:p>
                        <w:pPr>
                          <w:pStyle w:val="ListParagraph"/>
                          <w:numPr>
                            <w:ilvl w:val="1"/>
                            <w:numId w:val="39"/>
                          </w:numPr>
                          <w:ind w:left="1560"/>
                        </w:pPr>
                        <w:r>
                          <w:t xml:space="preserve">Once the scheme is approved at the second court hearing, the court order is lodged with ASIC and the scheme becomes effective.</w:t>
                        </w:r>
                      </w:p>
                      <w:p>
                        <w:pPr>
                          <w:pStyle w:val="ListParagraph"/>
                          <w:numPr>
                            <w:ilvl w:val="1"/>
                            <w:numId w:val="40"/>
                          </w:numPr>
                          <w:ind w:left="1560"/>
                        </w:pPr>
                        <w:r>
                          <w:t xml:space="preserve">After the effective date, there will be a record date for determining entitlements of shareholders to participate in the scheme. Shortly after the record date, the scheme will be completed by payment of the acquisition price and transfer to the bidder of all target company shares.</w:t>
                        </w:r>
                      </w:p>
                    </w:tc>
                  </w:tr>
                </w:tbl>
                <w:p>
                  <w:pPr>
                    <w:pStyle w:val="BodyText"/>
                  </w:pPr>
                  <w:pPr>
                    <w:pStyle w:val="ListParagraph"/>
                    <w:numPr>
                      <w:ilvl w:val="0"/>
                      <w:numId w:val="27"/>
                    </w:numPr>
                  </w:pPr>
                  <w:r>
                    <w:t xml:space="preserve">Scheme documents </w:t>
                  </w:r>
                </w:p>
                <w:p>
                  <w:pPr>
                    <w:pStyle w:val="BodyText"/>
                  </w:pPr>
                  <w:r>
                    <w:t xml:space="preserve">There are several key documents required to implement a scheme of arrangement:</w:t>
                  </w:r>
                </w:p>
                <w:p>
                  <w:pPr>
                    <w:pStyle w:val="BodyText"/>
                  </w:pPr>
                  <w:pPr>
                    <w:pStyle w:val="ListParagraph"/>
                    <w:numPr>
                      <w:ilvl w:val="1"/>
                      <w:numId w:val="41"/>
                    </w:numPr>
                    <w:ind w:left="1560"/>
                  </w:pPr>
                  <w:r>
                    <w:t xml:space="preserve">Scheme Implementation Agreement (SIA) – The SIA is the primary commercial document in an acquisition by way of scheme of arrangement. Apart from setting out the terms of the transaction, including the price and conditions precedent, the role of the SIA (from the bidder's perspective) is to exercise some degree of control over the transaction, which is otherwise controlled by the target company.</w:t>
                  </w:r>
                </w:p>
                <w:p>
                  <w:pPr>
                    <w:pStyle w:val="BodyText"/>
                  </w:pPr>
                  <w:pPr>
                    <w:pStyle w:val="ListParagraph"/>
                    <w:numPr>
                      <w:ilvl w:val="1"/>
                      <w:numId w:val="42"/>
                    </w:numPr>
                    <w:ind w:left="1560"/>
                  </w:pPr>
                  <w:r>
                    <w:t xml:space="preserve">Scheme of arrangement – This is a technical procedural document that gives effect to the scheme when approved by the court and reflects the SIA terms.</w:t>
                  </w:r>
                </w:p>
                <w:p>
                  <w:pPr>
                    <w:pStyle w:val="BodyText"/>
                  </w:pPr>
                  <w:pPr>
                    <w:pStyle w:val="ListParagraph"/>
                    <w:numPr>
                      <w:ilvl w:val="1"/>
                      <w:numId w:val="43"/>
                    </w:numPr>
                    <w:ind w:left="1560"/>
                  </w:pPr>
                  <w:r>
                    <w:t xml:space="preserve">Deed poll – This is a document that binds the bidder to its obligations in the SIA. Without this document, the shareholders of the target company cannot enforce the scheme against the bidder, as a scheme is (legally speaking) an arrangement only between the target company and its shareholders.</w:t>
                  </w:r>
                </w:p>
                <w:p>
                  <w:pPr>
                    <w:pStyle w:val="BodyText"/>
                  </w:pPr>
                  <w:r>
                    <w:t xml:space="preserve">The key documents to be sent to shareholders for the shareholder meeting are contained in the Scheme Booklet and include the following:</w:t>
                  </w:r>
                </w:p>
                <w:p>
                  <w:pPr>
                    <w:pStyle w:val="BodyText"/>
                  </w:pPr>
                  <w:pPr>
                    <w:pStyle w:val="ListParagraph"/>
                    <w:numPr>
                      <w:ilvl w:val="1"/>
                      <w:numId w:val="44"/>
                    </w:numPr>
                    <w:ind w:left="1560"/>
                  </w:pPr>
                  <w:r>
                    <w:t xml:space="preserve">Notice of scheme meeting – The notice of meeting convenes the shareholder meeting where the scheme is to be voted on. Ordinary notice provisions apply (minimum 28 days' notice).</w:t>
                  </w:r>
                </w:p>
                <w:p>
                  <w:pPr>
                    <w:pStyle w:val="BodyText"/>
                  </w:pPr>
                  <w:pPr>
                    <w:pStyle w:val="ListParagraph"/>
                    <w:numPr>
                      <w:ilvl w:val="1"/>
                      <w:numId w:val="45"/>
                    </w:numPr>
                    <w:ind w:left="1560"/>
                  </w:pPr>
                  <w:r>
                    <w:t xml:space="preserve">Explanatory statement – This is the key disclosure document for shareholders, which should provide all relevant information for a decision whether or not to vote in favor of the scheme. It contains recommendations from directors, together with detailed reasons. It also contains disclosures from the bidder which are equivalent to the disclosures that would be made in a Bidder's Statement for a takeover offer.</w:t>
                  </w:r>
                </w:p>
                <w:p>
                  <w:pPr>
                    <w:pStyle w:val="BodyText"/>
                  </w:pPr>
                  <w:pPr>
                    <w:pStyle w:val="ListParagraph"/>
                    <w:numPr>
                      <w:ilvl w:val="1"/>
                      <w:numId w:val="46"/>
                    </w:numPr>
                    <w:ind w:left="1560"/>
                  </w:pPr>
                  <w:r>
                    <w:t xml:space="preserve">Independent expert's report – An independent expert's report opines on whether the scheme is in the "best interest" of the target company's shareholders. This report is not always required by law, but appointing an independent expert to provide a report for the benefit of shareholders is an almost invariable characteristic of schemes in Australia. Target company boards do not generally proceed with a scheme without an expert's report confirming that the scheme is in the best interests of shareholders, and is fair and reasonable. The report will typically contain a detailed review and valuation of the target company.</w:t>
                  </w:r>
                </w:p>
                <w:p>
                  <w:pPr>
                    <w:pStyle w:val="BodyText"/>
                  </w:pPr>
                  <w:pPr>
                    <w:pStyle w:val="ListParagraph"/>
                    <w:numPr>
                      <w:ilvl w:val="1"/>
                      <w:numId w:val="47"/>
                    </w:numPr>
                    <w:ind w:left="1560"/>
                  </w:pPr>
                  <w:r>
                    <w:t xml:space="preserve">All of the shareholder documents must be lodged with ASIC for a 14-day review period before they go to court, and are then reviewed and approved by the court for dispatch to shareholders.</w:t>
                  </w:r>
                </w:p>
                <w:p>
                  <w:pPr>
                    <w:pStyle w:val="BodyText"/>
                  </w:pPr>
                  <w:r>
                    <w:rPr>
                      <w:b/>
                    </w:rPr>
                    <w:t xml:space="preserve">4.4 Differences between a takeover bid and scheme of arrangement</w:t>
                  </w:r>
                </w:p>
                <w:p>
                  <w:pPr>
                    <w:pStyle w:val="BodyText"/>
                  </w:pPr>
                  <w:r>
                    <w:t xml:space="preserve">Takeovers and schemes are quite different ways of reaching a similar outcome. Choosing the best structure for an acquisition depends on a number of factors, some of which are summarized below:</w:t>
                  </w:r>
                </w:p>
                <w:tbl>
                  <w:pPr>
                    <w:pStyle w:val="BodyText"/>
                  </w:pPr>
                  <w:tblPr>
                    <w:tblStyle w:val="TableGrid"/>
                    <w:tblW w:w="5000" w:type="pct"/>
                  </w:tblPr>
                  <w:tblGrid>
                    <w:gridCol/>
                    <w:gridCol/>
                    <w:gridCol/>
                  </w:tblGrid>
                  <w:tr>
                    <w:tc>
                      <w:tcPr>
                        <w:vAlign w:val="top"/>
                        <w:vAlign w:val="center"/>
                      </w:tcPr>
                      <w:p>
                        <w:r>
                          <w:rPr>
                            <w:b/>
                          </w:rPr>
                          <w:t xml:space="preserve"> </w:t>
                        </w:r>
                      </w:p>
                    </w:tc>
                    <w:tc>
                      <w:tcPr>
                        <w:vAlign w:val="top"/>
                        <w:vAlign w:val="center"/>
                      </w:tcPr>
                      <w:p>
                        <w:r>
                          <w:rPr>
                            <w:b/>
                          </w:rPr>
                          <w:t xml:space="preserve">Takeover bid</w:t>
                        </w:r>
                      </w:p>
                    </w:tc>
                    <w:tc>
                      <w:tcPr>
                        <w:vAlign w:val="top"/>
                        <w:vAlign w:val="center"/>
                      </w:tcPr>
                      <w:p>
                        <w:r>
                          <w:rPr>
                            <w:b/>
                          </w:rPr>
                          <w:t xml:space="preserve">Scheme of arrangement </w:t>
                        </w:r>
                      </w:p>
                    </w:tc>
                  </w:tr>
                  <w:tr>
                    <w:tc>
                      <w:tcPr>
                        <w:vAlign w:val="top"/>
                        <w:vAlign w:val="center"/>
                      </w:tcPr>
                      <w:p>
                        <w:r>
                          <w:rPr>
                            <w:b/>
                          </w:rPr>
                          <w:t xml:space="preserve">Control of the process</w:t>
                        </w:r>
                      </w:p>
                    </w:tc>
                    <w:tc>
                      <w:tcPr>
                        <w:vAlign w:val="top"/>
                        <w:vAlign w:val="center"/>
                      </w:tcPr>
                      <w:p>
                        <w:r>
                          <w:t xml:space="preserve">Bidder generally controls the process. Once commenced, the bidder can decide whether to waive conditions, extend the bid or increase the bid price.</w:t>
                        </w:r>
                      </w:p>
                      <w:p>
                        <w:r>
                          <w:t xml:space="preserve">A takeover, unlike a scheme, can proceed with or without the target board's continued support or recommendation.</w:t>
                        </w:r>
                      </w:p>
                    </w:tc>
                    <w:tc>
                      <w:tcPr>
                        <w:vAlign w:val="top"/>
                        <w:vAlign w:val="center"/>
                      </w:tcPr>
                      <w:p>
                        <w:r>
                          <w:t xml:space="preserve">Target company runs the scheme process, including preparing shareholder meeting documents, obtaining independent expert's report, regulatory filings, and making applications to the court.</w:t>
                        </w:r>
                      </w:p>
                      <w:p>
                        <w:r>
                          <w:t xml:space="preserve">A target company can break off a scheme process leaving the bidder with a break fee as its only remedy.</w:t>
                        </w:r>
                      </w:p>
                    </w:tc>
                  </w:tr>
                  <w:tr>
                    <w:tc>
                      <w:tcPr>
                        <w:vAlign w:val="top"/>
                        <w:vAlign w:val="center"/>
                      </w:tcPr>
                      <w:p>
                        <w:r>
                          <w:rPr>
                            <w:b/>
                          </w:rPr>
                          <w:t xml:space="preserve">Going hostile</w:t>
                        </w:r>
                      </w:p>
                    </w:tc>
                    <w:tc>
                      <w:tcPr>
                        <w:vAlign w:val="top"/>
                        <w:vAlign w:val="center"/>
                      </w:tcPr>
                      <w:p>
                        <w:r>
                          <w:t xml:space="preserve">Possible to make a hostile or unsolicited bid, forcing target to respond.</w:t>
                        </w:r>
                      </w:p>
                    </w:tc>
                    <w:tc>
                      <w:tcPr>
                        <w:vAlign w:val="top"/>
                        <w:vAlign w:val="center"/>
                      </w:tcPr>
                      <w:p>
                        <w:r>
                          <w:t xml:space="preserve">Not possible, because the structure is driven by the target company.</w:t>
                        </w:r>
                      </w:p>
                    </w:tc>
                  </w:tr>
                  <w:tr>
                    <w:tc>
                      <w:tcPr>
                        <w:vAlign w:val="top"/>
                        <w:vAlign w:val="center"/>
                      </w:tcPr>
                      <w:p>
                        <w:r>
                          <w:rPr>
                            <w:b/>
                          </w:rPr>
                          <w:t xml:space="preserve">Approval threshold</w:t>
                        </w:r>
                      </w:p>
                    </w:tc>
                    <w:tc>
                      <w:tcPr>
                        <w:vAlign w:val="top"/>
                        <w:vAlign w:val="center"/>
                      </w:tcPr>
                      <w:p>
                        <w:r>
                          <w:t xml:space="preserve">A bidder needs to achieve 90% shareholding to proceed to compulsory acquisition of the remaining shares. A higher test applies if the bidder's pre-bid holding exceeds 60%, in which case the bidder must also receive acceptances for at least 75% of the shares which it did not own at the start of the bid.</w:t>
                        </w:r>
                      </w:p>
                      <w:p>
                        <w:r>
                          <w:t xml:space="preserve">However, a bidder can make the offer unconditional at any shareholding level it chooses below 90% if it does not require 100% control.</w:t>
                        </w:r>
                      </w:p>
                    </w:tc>
                    <w:tc>
                      <w:tcPr>
                        <w:vAlign w:val="top"/>
                        <w:vAlign w:val="center"/>
                      </w:tcPr>
                      <w:p>
                        <w:r>
                          <w:t xml:space="preserve">Dual voting thresholds at shareholder meeting:</w:t>
                        </w:r>
                      </w:p>
                      <w:p>
                        <w:pPr>
                          <w:pStyle w:val="ListParagraph"/>
                          <w:numPr>
                            <w:ilvl w:val="0"/>
                            <w:numId w:val="48"/>
                          </w:numPr>
                        </w:pPr>
                        <w:r>
                          <w:t xml:space="preserve">75% by number of shares voted; and</w:t>
                        </w:r>
                      </w:p>
                      <w:p>
                        <w:pPr>
                          <w:pStyle w:val="ListParagraph"/>
                          <w:numPr>
                            <w:ilvl w:val="0"/>
                            <w:numId w:val="48"/>
                          </w:numPr>
                        </w:pPr>
                        <w:r>
                          <w:t xml:space="preserve">50% by number of shareholders who vote.</w:t>
                        </w:r>
                      </w:p>
                      <w:p>
                        <w:r>
                          <w:t xml:space="preserve">In each case, the test is based on only those shares which are actually voted. Shares that are not voted do not count as "no" votes.</w:t>
                        </w:r>
                      </w:p>
                      <w:p>
                        <w:r>
                          <w:t xml:space="preserve">Where there are different classes, each class must separately vote and meet the thresholds. This can give holders in a small class of shares a veto power over the whole scheme.</w:t>
                        </w:r>
                      </w:p>
                      <w:p>
                        <w:r>
                          <w:t xml:space="preserve">Court approval is also required.</w:t>
                        </w:r>
                      </w:p>
                    </w:tc>
                  </w:tr>
                  <w:tr>
                    <w:tc>
                      <w:tcPr>
                        <w:vAlign w:val="top"/>
                        <w:vAlign w:val="center"/>
                      </w:tcPr>
                      <w:p>
                        <w:r>
                          <w:rPr>
                            <w:b/>
                          </w:rPr>
                          <w:t xml:space="preserve">Effect of pre-bid shareholding on approvals</w:t>
                        </w:r>
                      </w:p>
                    </w:tc>
                    <w:tc>
                      <w:tcPr>
                        <w:vAlign w:val="top"/>
                        <w:vAlign w:val="center"/>
                      </w:tcPr>
                      <w:p>
                        <w:r>
                          <w:t xml:space="preserve">Any existing shareholding counts towards the 90% compulsory acquisition threshold, making it easier to achieve. An existing holding exceeding 60% will increase the threshold (see above).</w:t>
                        </w:r>
                      </w:p>
                    </w:tc>
                    <w:tc>
                      <w:tcPr>
                        <w:vAlign w:val="top"/>
                        <w:vAlign w:val="center"/>
                      </w:tcPr>
                      <w:p>
                        <w:r>
                          <w:t xml:space="preserve">The bidder and its associates cannot vote their own shares in favor of the scheme. An option over a third party's shares, however, will not always disqualify the third party from voting</w:t>
                        </w:r>
                      </w:p>
                    </w:tc>
                  </w:tr>
                  <w:tr>
                    <w:tc>
                      <w:tcPr>
                        <w:vAlign w:val="top"/>
                        <w:vAlign w:val="center"/>
                      </w:tcPr>
                      <w:p>
                        <w:r>
                          <w:rPr>
                            <w:b/>
                          </w:rPr>
                          <w:t xml:space="preserve">Certainty of outcome</w:t>
                        </w:r>
                      </w:p>
                    </w:tc>
                    <w:tc>
                      <w:tcPr>
                        <w:vAlign w:val="top"/>
                        <w:vAlign w:val="center"/>
                      </w:tcPr>
                      <w:p>
                        <w:r>
                          <w:t xml:space="preserve">A bidder will usually have to declare its bid unconditional at an acceptance level below 90% to entice sophisticated shareholders to accept for their shares. An Institutional Acceptance Facility (IAF) can help overcome this impasse, but a bidder often has to accept the risk of falling short of 90% when it goes unconditional. This can make debt financing more difficult.</w:t>
                        </w:r>
                      </w:p>
                      <w:p>
                        <w:r>
                          <w:t xml:space="preserve">A takeover structure can be to a bidder's advantage if it is content with majority control, as the bid need not be conditional on reaching compulsory acquisition thresholds.</w:t>
                        </w:r>
                      </w:p>
                    </w:tc>
                    <w:tc>
                      <w:tcPr>
                        <w:vAlign w:val="top"/>
                        <w:vAlign w:val="center"/>
                      </w:tcPr>
                      <w:p>
                        <w:r>
                          <w:t xml:space="preserve">Schemes have an "all or nothing" outcome depending on whether the approval thresholds are met, and will generally complete on a date fixed in advance by the bidder and target company.</w:t>
                        </w:r>
                      </w:p>
                      <w:p>
                        <w:r>
                          <w:t xml:space="preserve">A scheme is preferable from a debt financier's perspective for this reason.</w:t>
                        </w:r>
                      </w:p>
                      <w:p>
                        <w:r>
                          <w:t xml:space="preserve">Unlike a takeover bid, a bidder under a scheme of arrangement cannot settle for partial success (such as majority control) because the shareholders' approval condition cannot be waived.</w:t>
                        </w:r>
                      </w:p>
                    </w:tc>
                  </w:tr>
                  <w:tr>
                    <w:tc>
                      <w:tcPr>
                        <w:vAlign w:val="top"/>
                        <w:vAlign w:val="center"/>
                      </w:tcPr>
                      <w:p>
                        <w:r>
                          <w:rPr>
                            <w:b/>
                          </w:rPr>
                          <w:t xml:space="preserve">Timetable and completion process</w:t>
                        </w:r>
                      </w:p>
                    </w:tc>
                    <w:tc>
                      <w:tcPr>
                        <w:vAlign w:val="top"/>
                        <w:vAlign w:val="center"/>
                      </w:tcPr>
                      <w:p>
                        <w:r>
                          <w:t xml:space="preserve">As there is no court or shareholder approval process, a takeover bid can be launched quickly. A bidder can take early acceptances (if the bid is unconditional) to gain effective control of the target company in a matter of weeks.</w:t>
                        </w:r>
                      </w:p>
                      <w:p>
                        <w:r>
                          <w:t xml:space="preserve">However, a takeover will often take a long time to reach compulsory acquisition thresholds, as this depends on how quickly the remaining shareholders send in their acceptances. The compulsory acquisition process itself then takes one to two months to complete.</w:t>
                        </w:r>
                      </w:p>
                    </w:tc>
                    <w:tc>
                      <w:tcPr>
                        <w:vAlign w:val="top"/>
                        <w:vAlign w:val="center"/>
                      </w:tcPr>
                      <w:p>
                        <w:r>
                          <w:t xml:space="preserve">A scheme is initially a slower process than a takeover as it requires review and approval of scheme documents by both ASIC and the court before they can be sent to shareholders, and then a minimum 28 days' notice for the shareholders' meeting.</w:t>
                        </w:r>
                      </w:p>
                      <w:p>
                        <w:r>
                          <w:t xml:space="preserve">Unlike a takeover, the end date of the scheme process can be fixed and, with an "all or nothing" result, all target shares are acquired by the bidder shortly after shareholder and court approval.</w:t>
                        </w:r>
                      </w:p>
                    </w:tc>
                  </w:tr>
                  <w:tr>
                    <w:tc>
                      <w:tcPr>
                        <w:vAlign w:val="top"/>
                        <w:vAlign w:val="center"/>
                      </w:tcPr>
                      <w:p>
                        <w:r>
                          <w:rPr>
                            <w:b/>
                          </w:rPr>
                          <w:t xml:space="preserve">Offer price</w:t>
                        </w:r>
                      </w:p>
                    </w:tc>
                    <w:tc>
                      <w:tcPr>
                        <w:vAlign w:val="top"/>
                        <w:vAlign w:val="center"/>
                      </w:tcPr>
                      <w:p>
                        <w:r>
                          <w:t xml:space="preserve">The bidder can offer cash, shares, debentures or any combination of alternatives. However, all target shareholders must be offered the same choices.</w:t>
                        </w:r>
                      </w:p>
                    </w:tc>
                    <w:tc>
                      <w:tcPr>
                        <w:vAlign w:val="top"/>
                        <w:vAlign w:val="center"/>
                      </w:tcPr>
                      <w:p>
                        <w:r>
                          <w:t xml:space="preserve">Separated and different offers are allowed. For example, equity in the bid vehicle may be offered only to target management, with cash offered to other shareholders. This will, however, create separate classes for voting purposes.</w:t>
                        </w:r>
                      </w:p>
                    </w:tc>
                  </w:tr>
                  <w:tr>
                    <w:tc>
                      <w:tcPr>
                        <w:vAlign w:val="top"/>
                        <w:vAlign w:val="center"/>
                      </w:tcPr>
                      <w:p>
                        <w:r>
                          <w:rPr>
                            <w:b/>
                          </w:rPr>
                          <w:t xml:space="preserve">Minimum bid price</w:t>
                        </w:r>
                      </w:p>
                    </w:tc>
                    <w:tc>
                      <w:tcPr>
                        <w:vAlign w:val="top"/>
                        <w:vAlign w:val="center"/>
                      </w:tcPr>
                      <w:p>
                        <w:r>
                          <w:t xml:space="preserve">A takeover bid must offer at least the highest price paid for target company shares by the bidder (or its associates) in the four months before the bid.</w:t>
                        </w:r>
                      </w:p>
                    </w:tc>
                    <w:tc>
                      <w:tcPr>
                        <w:vAlign w:val="top"/>
                        <w:vAlign w:val="center"/>
                      </w:tcPr>
                      <w:p>
                        <w:r>
                          <w:t xml:space="preserve">No minimum offer price rule applies. However, the court may take pre-scheme purchase prices into account when exercising its discretion to approve the scheme.</w:t>
                        </w:r>
                      </w:p>
                    </w:tc>
                  </w:tr>
                  <w:tr>
                    <w:tc>
                      <w:tcPr>
                        <w:vAlign w:val="top"/>
                        <w:vAlign w:val="center"/>
                      </w:tcPr>
                      <w:p>
                        <w:r>
                          <w:rPr>
                            <w:b/>
                          </w:rPr>
                          <w:t xml:space="preserve">Conditions precedent</w:t>
                        </w:r>
                      </w:p>
                    </w:tc>
                    <w:tc>
                      <w:tcPr>
                        <w:vAlign w:val="top"/>
                        <w:vAlign w:val="center"/>
                      </w:tcPr>
                      <w:p>
                        <w:r>
                          <w:t xml:space="preserve">There are some restrictions on the types of conditions precedent that can be included in an offer. For example, conditions which depend on the bidder's opinion cannot be used.</w:t>
                        </w:r>
                      </w:p>
                      <w:p>
                        <w:r>
                          <w:t xml:space="preserve">A bidder can waive any condition in its discretion (other than necessary regulatory approvals).</w:t>
                        </w:r>
                      </w:p>
                    </w:tc>
                    <w:tc>
                      <w:tcPr>
                        <w:vAlign w:val="top"/>
                        <w:vAlign w:val="center"/>
                      </w:tcPr>
                      <w:p>
                        <w:r>
                          <w:t xml:space="preserve">There is no limit on types of conditions precedent, although all conditions must be either satisfied or waived by the time of the second court hearing.</w:t>
                        </w:r>
                      </w:p>
                      <w:p>
                        <w:r>
                          <w:t xml:space="preserve">The bidder may not be able to waive conditions if they are expressed to be for the target's benefit.</w:t>
                        </w:r>
                      </w:p>
                    </w:tc>
                  </w:tr>
                  <w:tr>
                    <w:tc>
                      <w:tcPr>
                        <w:vAlign w:val="top"/>
                        <w:vAlign w:val="center"/>
                      </w:tcPr>
                      <w:p>
                        <w:r>
                          <w:rPr>
                            <w:b/>
                          </w:rPr>
                          <w:t xml:space="preserve">Amending the bid or offer price</w:t>
                        </w:r>
                      </w:p>
                    </w:tc>
                    <w:tc>
                      <w:tcPr>
                        <w:vAlign w:val="top"/>
                        <w:vAlign w:val="center"/>
                      </w:tcPr>
                      <w:p>
                        <w:r>
                          <w:t xml:space="preserve">A takeover bid is very flexible. The bidder can:</w:t>
                        </w:r>
                      </w:p>
                      <w:p>
                        <w:pPr>
                          <w:pStyle w:val="ListParagraph"/>
                          <w:numPr>
                            <w:ilvl w:val="0"/>
                            <w:numId w:val="49"/>
                          </w:numPr>
                        </w:pPr>
                        <w:r>
                          <w:t xml:space="preserve">waive conditions (either one by one, or all at once);</w:t>
                        </w:r>
                      </w:p>
                      <w:p>
                        <w:pPr>
                          <w:pStyle w:val="ListParagraph"/>
                          <w:numPr>
                            <w:ilvl w:val="0"/>
                            <w:numId w:val="49"/>
                          </w:numPr>
                        </w:pPr>
                        <w:r>
                          <w:t xml:space="preserve">extend the bid by any length of time;</w:t>
                        </w:r>
                      </w:p>
                      <w:p>
                        <w:pPr>
                          <w:pStyle w:val="ListParagraph"/>
                          <w:numPr>
                            <w:ilvl w:val="0"/>
                            <w:numId w:val="49"/>
                          </w:numPr>
                        </w:pPr>
                        <w:r>
                          <w:t xml:space="preserve">increase the offer price by any amount; or</w:t>
                        </w:r>
                      </w:p>
                      <w:p>
                        <w:pPr>
                          <w:pStyle w:val="ListParagraph"/>
                          <w:numPr>
                            <w:ilvl w:val="0"/>
                            <w:numId w:val="49"/>
                          </w:numPr>
                        </w:pPr>
                        <w:r>
                          <w:t xml:space="preserve">accelerate payment terms for acceptances,</w:t>
                        </w:r>
                      </w:p>
                      <w:p>
                        <w:r>
                          <w:t xml:space="preserve">in its discretion and at any time during the bid (although some restrictions apply in the final seven days of the bid period). This flexibility allows a bidder to respond quickly to a rival bidder.</w:t>
                        </w:r>
                      </w:p>
                    </w:tc>
                    <w:tc>
                      <w:tcPr>
                        <w:vAlign w:val="top"/>
                        <w:vAlign w:val="center"/>
                      </w:tcPr>
                      <w:p>
                        <w:r>
                          <w:t xml:space="preserve">The terms of a scheme cannot be amended easily. Any variation after the shareholders' meeting has been convened will usually require court consent and may require the meeting to be reconvened, which will delay the timetable.</w:t>
                        </w:r>
                      </w:p>
                      <w:p>
                        <w:r>
                          <w:t xml:space="preserve">The offer price can be increased with some prior notice but it requires cooperation from the target company. Payment terms cannot be accelerated for "early acceptances" before the shareholders' meeting as it is an "all or nothing" process.</w:t>
                        </w:r>
                      </w:p>
                      <w:p>
                        <w:r>
                          <w:t xml:space="preserve">These features of a scheme make it more difficult for a bidder to respond to a rival bid.</w:t>
                        </w:r>
                      </w:p>
                    </w:tc>
                  </w:tr>
                </w:tbl>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Timeline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Timeline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5.1 Timetable for an off-market takeover bid</w:t>
                  </w:r>
                </w:p>
                <w:p>
                  <w:pPr>
                    <w:pStyle w:val="BodyText"/>
                  </w:pPr>
                  <w:r>
                    <w:t xml:space="preserve">This indicative timetable is based on the minimum timetable for an off-market bid. References to time are calendar days, not business days (unless otherwise noted). All section references are to the Corporations Act unless otherwise indicated.</w:t>
                  </w:r>
                </w:p>
                <w:tbl>
                  <w:pPr>
                    <w:pStyle w:val="BodyText"/>
                  </w:pPr>
                  <w:tblPr>
                    <w:tblStyle w:val="TableGrid"/>
                    <w:tblW w:w="9495" w:type="dxa"/>
                    <w:tblCellSpacing w:w="14" w:type="dxa"/>
                    <w:tblCellMar>
                      <w:top w:w="14" w:type="dxa"/>
                      <w:left w:w="14" w:type="dxa"/>
                      <w:bottom w:w="14" w:type="dxa"/>
                      <w:right w:w="14" w:type="dxa"/>
                    </w:tblCellMar>
                  </w:tblPr>
                  <w:tblGrid>
                    <w:gridCol/>
                    <w:gridCol/>
                    <w:gridCol/>
                  </w:tblGrid>
                  <w:tr>
                    <w:trPr>
                      <w:trHeight w:val="180" w:hRule="atLeast"/>
                    </w:trPr>
                    <w:tc>
                      <w:tcPr>
                        <w:tcW w:w="2100" w:type="dxa"/>
                        <w:vAlign w:val="center"/>
                      </w:tcPr>
                      <w:p>
                        <w:r>
                          <w:rPr>
                            <w:b/>
                          </w:rPr>
                          <w:t xml:space="preserve">Timing</w:t>
                        </w:r>
                      </w:p>
                    </w:tc>
                    <w:tc>
                      <w:tcPr>
                        <w:tcW w:w="3072" w:type="dxa"/>
                        <w:vAlign w:val="center"/>
                      </w:tcPr>
                      <w:p>
                        <w:r>
                          <w:rPr>
                            <w:b/>
                          </w:rPr>
                          <w:t xml:space="preserve">Action</w:t>
                        </w:r>
                      </w:p>
                    </w:tc>
                    <w:tc>
                      <w:tcPr>
                        <w:tcW w:w="3452" w:type="dxa"/>
                        <w:vAlign w:val="center"/>
                      </w:tcPr>
                      <w:p>
                        <w:r>
                          <w:rPr>
                            <w:b/>
                          </w:rPr>
                          <w:t xml:space="preserve">Comments</w:t>
                        </w:r>
                      </w:p>
                    </w:tc>
                  </w:tr>
                  <w:tr>
                    <w:trPr>
                      <w:trHeight w:val="180" w:hRule="atLeast"/>
                    </w:trPr>
                    <w:tc>
                      <w:tcPr>
                        <w:vAlign w:val="top"/>
                        <w:vAlign w:val="center"/>
                      </w:tcPr>
                      <w:p>
                        <w:r>
                          <w:rPr>
                            <w:b/>
                          </w:rPr>
                          <w:t xml:space="preserve">On or before Day 1</w:t>
                        </w:r>
                      </w:p>
                    </w:tc>
                    <w:tc>
                      <w:tcPr>
                        <w:vAlign w:val="top"/>
                        <w:vAlign w:val="center"/>
                      </w:tcPr>
                      <w:p>
                        <w:r>
                          <w:t xml:space="preserve">Public announcement of intention to make a bid</w:t>
                        </w:r>
                      </w:p>
                    </w:tc>
                    <w:tc>
                      <w:tcPr>
                        <w:vAlign w:val="top"/>
                        <w:vAlign w:val="center"/>
                      </w:tcPr>
                      <w:p>
                        <w:r>
                          <w:t xml:space="preserve">Takeover offers must be sent to shareholders within two months of the announcement (section 631).</w:t>
                        </w:r>
                      </w:p>
                    </w:tc>
                  </w:tr>
                  <w:tr>
                    <w:trPr>
                      <w:trHeight w:val="180" w:hRule="atLeast"/>
                    </w:trPr>
                    <w:tc>
                      <w:tcPr>
                        <w:vAlign w:val="top"/>
                        <w:vAlign w:val="center"/>
                      </w:tcPr>
                      <w:p>
                        <w:r>
                          <w:rPr>
                            <w:b/>
                          </w:rPr>
                          <w:t xml:space="preserve">Day 1</w:t>
                        </w:r>
                      </w:p>
                    </w:tc>
                    <w:tc>
                      <w:tcPr>
                        <w:vAlign w:val="top"/>
                        <w:vAlign w:val="center"/>
                      </w:tcPr>
                      <w:p>
                        <w:r>
                          <w:t xml:space="preserve">Bidder’s Statement (which includes the offer terms) lodged with ASIC</w:t>
                        </w:r>
                      </w:p>
                    </w:tc>
                    <w:tc>
                      <w:tcPr>
                        <w:vAlign w:val="top"/>
                        <w:vAlign w:val="center"/>
                      </w:tcPr>
                      <w:p>
                        <w:r>
                          <w:t xml:space="preserve">-</w:t>
                        </w:r>
                      </w:p>
                    </w:tc>
                  </w:tr>
                  <w:tr>
                    <w:trPr>
                      <w:trHeight w:val="180" w:hRule="atLeast"/>
                    </w:trPr>
                    <w:tc>
                      <w:tcPr>
                        <w:vAlign w:val="top"/>
                        <w:vAlign w:val="center"/>
                      </w:tcPr>
                      <w:p>
                        <w:r>
                          <w:rPr>
                            <w:b/>
                          </w:rPr>
                          <w:t xml:space="preserve">Day 1</w:t>
                        </w:r>
                      </w:p>
                    </w:tc>
                    <w:tc>
                      <w:tcPr>
                        <w:vAlign w:val="top"/>
                        <w:vAlign w:val="center"/>
                      </w:tcPr>
                      <w:p>
                        <w:r>
                          <w:t xml:space="preserve">Bidder’s Statement served on target and given to ASX</w:t>
                        </w:r>
                      </w:p>
                    </w:tc>
                    <w:tc>
                      <w:tcPr>
                        <w:vAlign w:val="top"/>
                        <w:vAlign w:val="center"/>
                      </w:tcPr>
                      <w:p>
                        <w:r>
                          <w:t xml:space="preserve">The Bidder’s Statement must be served on the target within 21 days after it is lodged with ASIC (section 633). If the target is listed, a copy must be given to ASX. Service is usually made on the same day as ASIC lodgement.</w:t>
                        </w:r>
                      </w:p>
                    </w:tc>
                  </w:tr>
                  <w:tr>
                    <w:trPr>
                      <w:trHeight w:val="180" w:hRule="atLeast"/>
                    </w:trPr>
                    <w:tc>
                      <w:tcPr>
                        <w:vAlign w:val="top"/>
                        <w:vAlign w:val="center"/>
                      </w:tcPr>
                      <w:p>
                        <w:r>
                          <w:rPr>
                            <w:b/>
                          </w:rPr>
                          <w:t xml:space="preserve">Every day during the bid period</w:t>
                        </w:r>
                      </w:p>
                    </w:tc>
                    <w:tc>
                      <w:tcPr>
                        <w:vAlign w:val="top"/>
                        <w:vAlign w:val="center"/>
                      </w:tcPr>
                      <w:p>
                        <w:r>
                          <w:t xml:space="preserve">Bidder lodges substantial holder notices as required</w:t>
                        </w:r>
                      </w:p>
                    </w:tc>
                    <w:tc>
                      <w:tcPr>
                        <w:vAlign w:val="top"/>
                        <w:vAlign w:val="center"/>
                      </w:tcPr>
                      <w:p>
                        <w:r>
                          <w:t xml:space="preserve">The bidder must notify the target and ASX of its total voting power:</w:t>
                        </w:r>
                      </w:p>
                      <w:p>
                        <w:pPr>
                          <w:pStyle w:val="ListParagraph"/>
                          <w:numPr>
                            <w:ilvl w:val="0"/>
                            <w:numId w:val="14"/>
                          </w:numPr>
                        </w:pPr>
                        <w:r>
                          <w:t xml:space="preserve">when it first makes the bid;</w:t>
                        </w:r>
                      </w:p>
                      <w:p>
                        <w:pPr>
                          <w:pStyle w:val="ListParagraph"/>
                          <w:numPr>
                            <w:ilvl w:val="0"/>
                            <w:numId w:val="14"/>
                          </w:numPr>
                        </w:pPr>
                        <w:r>
                          <w:t xml:space="preserve">when its voting power reaches 5%; and</w:t>
                        </w:r>
                      </w:p>
                      <w:p>
                        <w:pPr>
                          <w:pStyle w:val="ListParagraph"/>
                          <w:numPr>
                            <w:ilvl w:val="0"/>
                            <w:numId w:val="14"/>
                          </w:numPr>
                        </w:pPr>
                        <w:r>
                          <w:t xml:space="preserve">every day its voting power changes by at least 1% (for example, as it receives acceptances).</w:t>
                        </w:r>
                      </w:p>
                      <w:p>
                        <w:r>
                          <w:t xml:space="preserve">The notice must be given by 9.30am on the next trading day (section 671B).</w:t>
                        </w:r>
                      </w:p>
                    </w:tc>
                  </w:tr>
                  <w:tr>
                    <w:trPr>
                      <w:trHeight w:val="180" w:hRule="atLeast"/>
                    </w:trPr>
                    <w:tc>
                      <w:tcPr>
                        <w:vAlign w:val="top"/>
                        <w:vAlign w:val="center"/>
                      </w:tcPr>
                      <w:p>
                        <w:r>
                          <w:rPr>
                            <w:b/>
                          </w:rPr>
                          <w:t xml:space="preserve">Day 15</w:t>
                        </w:r>
                      </w:p>
                    </w:tc>
                    <w:tc>
                      <w:tcPr>
                        <w:vAlign w:val="top"/>
                        <w:vAlign w:val="center"/>
                      </w:tcPr>
                      <w:p>
                        <w:r>
                          <w:t xml:space="preserve">Bidder’s Statement and offer document sent to target shareholders</w:t>
                        </w:r>
                      </w:p>
                    </w:tc>
                    <w:tc>
                      <w:tcPr>
                        <w:vAlign w:val="top"/>
                        <w:vAlign w:val="center"/>
                      </w:tcPr>
                      <w:p>
                        <w:r>
                          <w:t xml:space="preserve">Dispatch of these documents must be done within a three-day period between 14 and 28 days after service on the target (section 633). The target may agree to an earlier dispatch date. In a hostile bid, an application by the target to the Takeovers Panel may delay the</w:t>
                        </w:r>
                        <w:r>
                          <w:br/>
                        </w:r>
                        <w:r>
                          <w:t xml:space="preserve">dispatch pending resolution of the  dispute. Notice that the documents have been dispatched must be given to the target, ASIC and ASX (section 633).</w:t>
                        </w:r>
                      </w:p>
                    </w:tc>
                  </w:tr>
                  <w:tr>
                    <w:trPr>
                      <w:trHeight w:val="180" w:hRule="atLeast"/>
                    </w:trPr>
                    <w:tc>
                      <w:tcPr>
                        <w:vAlign w:val="top"/>
                        <w:vAlign w:val="center"/>
                      </w:tcPr>
                      <w:p>
                        <w:r>
                          <w:rPr>
                            <w:b/>
                          </w:rPr>
                          <w:t xml:space="preserve">By day 30</w:t>
                        </w:r>
                      </w:p>
                    </w:tc>
                    <w:tc>
                      <w:tcPr>
                        <w:vAlign w:val="top"/>
                        <w:vAlign w:val="center"/>
                      </w:tcPr>
                      <w:p>
                        <w:r>
                          <w:t xml:space="preserve">Target’s Statement sent to bidder and target shareholders</w:t>
                        </w:r>
                      </w:p>
                    </w:tc>
                    <w:tc>
                      <w:tcPr>
                        <w:vAlign w:val="top"/>
                        <w:vAlign w:val="center"/>
                      </w:tcPr>
                      <w:p>
                        <w:r>
                          <w:t xml:space="preserve">The Target’s Statement must be sent no</w:t>
                        </w:r>
                        <w:r>
                          <w:br/>
                        </w:r>
                        <w:r>
                          <w:t xml:space="preserve">later than 15 days after the bidder sends its documents to the target’s shareholders (section 633). A copy is also given to ASIC and ASX.</w:t>
                        </w:r>
                      </w:p>
                    </w:tc>
                  </w:tr>
                  <w:tr>
                    <w:trPr>
                      <w:trHeight w:val="180" w:hRule="atLeast"/>
                    </w:trPr>
                    <w:tc>
                      <w:tcPr>
                        <w:vAlign w:val="top"/>
                        <w:vAlign w:val="center"/>
                      </w:tcPr>
                      <w:p>
                        <w:r>
                          <w:rPr>
                            <w:b/>
                          </w:rPr>
                          <w:t xml:space="preserve">Any time during the offer period</w:t>
                        </w:r>
                      </w:p>
                    </w:tc>
                    <w:tc>
                      <w:tcPr>
                        <w:vAlign w:val="top"/>
                        <w:vAlign w:val="center"/>
                      </w:tcPr>
                      <w:p>
                        <w:r>
                          <w:t xml:space="preserve">Extend the offer period</w:t>
                        </w:r>
                      </w:p>
                    </w:tc>
                    <w:tc>
                      <w:tcPr>
                        <w:vAlign w:val="top"/>
                        <w:vAlign w:val="center"/>
                      </w:tcPr>
                      <w:p>
                        <w:r>
                          <w:t xml:space="preserve">A formal notice of variation is sent to the</w:t>
                        </w:r>
                        <w:r>
                          <w:br/>
                        </w:r>
                        <w:r>
                          <w:t xml:space="preserve">target, ASIC and offerees (section 650D).</w:t>
                        </w:r>
                      </w:p>
                      <w:p>
                        <w:r>
                          <w:t xml:space="preserve">If the offer is still conditional the offer</w:t>
                        </w:r>
                        <w:r>
                          <w:br/>
                        </w:r>
                        <w:r>
                          <w:t xml:space="preserve">period cannot be extended after the</w:t>
                        </w:r>
                        <w:r>
                          <w:br/>
                        </w:r>
                        <w:r>
                          <w:t xml:space="preserve">publication of the notice as to the status of the bid conditions (see below), unless a competing bid is announced or made after the date of publication or the consideration under a competing takeover bid is improved (section 650C).</w:t>
                        </w:r>
                      </w:p>
                      <w:p>
                        <w:r>
                          <w:t xml:space="preserve">Any number of extensions can be made, up to a total offer period of 12 months (section 624(1)). An extension for more than one month (in total) will trigger withdrawal rights for previously accepted shares if the offer is still conditional.</w:t>
                        </w:r>
                      </w:p>
                    </w:tc>
                  </w:tr>
                  <w:tr>
                    <w:trPr>
                      <w:trHeight w:val="180" w:hRule="atLeast"/>
                    </w:trPr>
                    <w:tc>
                      <w:tcPr>
                        <w:vAlign w:val="top"/>
                        <w:vAlign w:val="center"/>
                      </w:tcPr>
                      <w:p>
                        <w:r>
                          <w:rPr>
                            <w:b/>
                          </w:rPr>
                          <w:t xml:space="preserve">Any day before or on the end of the offer period</w:t>
                        </w:r>
                      </w:p>
                    </w:tc>
                    <w:tc>
                      <w:tcPr>
                        <w:vAlign w:val="top"/>
                        <w:vAlign w:val="center"/>
                      </w:tcPr>
                      <w:p>
                        <w:r>
                          <w:t xml:space="preserve">Waive conditions of the bid</w:t>
                        </w:r>
                      </w:p>
                    </w:tc>
                    <w:tc>
                      <w:tcPr>
                        <w:vAlign w:val="top"/>
                        <w:vAlign w:val="center"/>
                      </w:tcPr>
                      <w:p>
                        <w:r>
                          <w:t xml:space="preserve">Notice waiving a condition is given to the target and ASX (section 650F).</w:t>
                        </w:r>
                      </w:p>
                      <w:p>
                        <w:r>
                          <w:t xml:space="preserve">Conditions as to the non-occurrence of</w:t>
                        </w:r>
                        <w:r>
                          <w:br/>
                        </w:r>
                        <w:r>
                          <w:t xml:space="preserve">certain corporate actions by the target</w:t>
                        </w:r>
                        <w:r>
                          <w:br/>
                        </w:r>
                        <w:r>
                          <w:t xml:space="preserve">(section 652C(1) and (2) events, commonly called "</w:t>
                        </w:r>
                        <w:r>
                          <w:rPr>
                            <w:b/>
                          </w:rPr>
                          <w:t xml:space="preserve">prescribed occurrences</w:t>
                        </w:r>
                        <w:r>
                          <w:t xml:space="preserve">") may be waived up to three business days after the end of the offer period.</w:t>
                        </w:r>
                      </w:p>
                    </w:tc>
                  </w:tr>
                  <w:tr>
                    <w:trPr>
                      <w:trHeight w:val="180" w:hRule="atLeast"/>
                    </w:trPr>
                    <w:tc>
                      <w:tcPr>
                        <w:vAlign w:val="top"/>
                        <w:vAlign w:val="center"/>
                      </w:tcPr>
                      <w:p>
                        <w:r>
                          <w:rPr>
                            <w:b/>
                          </w:rPr>
                          <w:t xml:space="preserve">Seven days before the end of the offer</w:t>
                        </w:r>
                      </w:p>
                    </w:tc>
                    <w:tc>
                      <w:tcPr>
                        <w:vAlign w:val="top"/>
                        <w:vAlign w:val="center"/>
                      </w:tcPr>
                      <w:p>
                        <w:r>
                          <w:t xml:space="preserve">Publish notice as to the</w:t>
                        </w:r>
                        <w:r>
                          <w:br/>
                        </w:r>
                        <w:r>
                          <w:t xml:space="preserve">status of bid conditions</w:t>
                        </w:r>
                      </w:p>
                    </w:tc>
                    <w:tc>
                      <w:tcPr>
                        <w:vAlign w:val="top"/>
                        <w:vAlign w:val="center"/>
                      </w:tcPr>
                      <w:p>
                        <w:r>
                          <w:t xml:space="preserve">The offer document must specify a date between seven and 14 days before the end of the offer period for publishing this notice (section 630(1)). Seven days before the end is the day usually specified. The publication date is automatically deferred by the length of any extension in the offer period (section 630(2)).</w:t>
                        </w:r>
                        <w:r>
                          <w:br/>
                        </w:r>
                        <w:r>
                          <w:br/>
                        </w:r>
                        <w:r>
                          <w:t xml:space="preserve">The notice is sent to the target and ASX.</w:t>
                        </w:r>
                      </w:p>
                    </w:tc>
                  </w:tr>
                  <w:tr>
                    <w:trPr>
                      <w:trHeight w:val="180" w:hRule="atLeast"/>
                    </w:trPr>
                    <w:tc>
                      <w:tcPr>
                        <w:vAlign w:val="top"/>
                        <w:vAlign w:val="center"/>
                      </w:tcPr>
                      <w:p>
                        <w:r>
                          <w:rPr>
                            <w:b/>
                          </w:rPr>
                          <w:t xml:space="preserve">Day 15 plus one calendar month</w:t>
                        </w:r>
                      </w:p>
                    </w:tc>
                    <w:tc>
                      <w:tcPr>
                        <w:vAlign w:val="top"/>
                        <w:vAlign w:val="center"/>
                      </w:tcPr>
                      <w:p>
                        <w:r>
                          <w:t xml:space="preserve">Earliest date for close of the offer period</w:t>
                        </w:r>
                      </w:p>
                    </w:tc>
                    <w:tc>
                      <w:tcPr>
                        <w:vAlign w:val="top"/>
                        <w:vAlign w:val="center"/>
                      </w:tcPr>
                      <w:p>
                        <w:r>
                          <w:t xml:space="preserve">The offer period will be automatically extended under section 624(2) if, in the last seven days, the bid price is increased or the bidder’s voting power in the target increases to more than 50%. The automatic extension is to 14 days after the relevant event.</w:t>
                        </w:r>
                      </w:p>
                    </w:tc>
                  </w:tr>
                  <w:tr>
                    <w:trPr>
                      <w:trHeight w:val="180" w:hRule="atLeast"/>
                    </w:trPr>
                    <w:tc>
                      <w:tcPr>
                        <w:vAlign w:val="top"/>
                        <w:vAlign w:val="center"/>
                      </w:tcPr>
                      <w:p>
                        <w:r>
                          <w:rPr>
                            <w:b/>
                          </w:rPr>
                          <w:t xml:space="preserve">Up to 21 days after the end of the offer period</w:t>
                        </w:r>
                      </w:p>
                    </w:tc>
                    <w:tc>
                      <w:tcPr>
                        <w:vAlign w:val="top"/>
                        <w:vAlign w:val="center"/>
                      </w:tcPr>
                      <w:p>
                        <w:r>
                          <w:t xml:space="preserve">Pay the bid price to accepting shareholders</w:t>
                        </w:r>
                      </w:p>
                    </w:tc>
                    <w:tc>
                      <w:tcPr>
                        <w:vAlign w:val="top"/>
                        <w:vAlign w:val="center"/>
                      </w:tcPr>
                      <w:p>
                        <w:r>
                          <w:t xml:space="preserve">The bid price must be paid by the earlier of:</w:t>
                        </w:r>
                      </w:p>
                      <w:p>
                        <w:pPr>
                          <w:pStyle w:val="ListParagraph"/>
                          <w:numPr>
                            <w:ilvl w:val="0"/>
                            <w:numId w:val="15"/>
                          </w:numPr>
                        </w:pPr>
                        <w:r>
                          <w:t xml:space="preserve">the later of one month after acceptance and one month after the bid becomes unconditional; and</w:t>
                        </w:r>
                      </w:p>
                      <w:p>
                        <w:pPr>
                          <w:pStyle w:val="ListParagraph"/>
                          <w:numPr>
                            <w:ilvl w:val="0"/>
                            <w:numId w:val="15"/>
                          </w:numPr>
                        </w:pPr>
                        <w:r>
                          <w:t xml:space="preserve">21 days after the end of the offer period (section 620(2)).</w:t>
                        </w:r>
                      </w:p>
                    </w:tc>
                  </w:tr>
                  <w:tr>
                    <w:trPr>
                      <w:trHeight w:val="180" w:hRule="atLeast"/>
                    </w:trPr>
                    <w:tc>
                      <w:tcPr>
                        <w:vAlign w:val="top"/>
                        <w:vAlign w:val="center"/>
                      </w:tcPr>
                      <w:p>
                        <w:r>
                          <w:rPr>
                            <w:b/>
                          </w:rPr>
                          <w:t xml:space="preserve">Immediately after the end of the offer period</w:t>
                        </w:r>
                      </w:p>
                    </w:tc>
                    <w:tc>
                      <w:tcPr>
                        <w:vAlign w:val="top"/>
                        <w:vAlign w:val="center"/>
                      </w:tcPr>
                      <w:p>
                        <w:r>
                          <w:t xml:space="preserve">Commence compulsory acquisition procedure</w:t>
                        </w:r>
                      </w:p>
                    </w:tc>
                    <w:tc>
                      <w:tcPr>
                        <w:vAlign w:val="top"/>
                        <w:vAlign w:val="center"/>
                      </w:tcPr>
                      <w:p>
                        <w:r>
                          <w:t xml:space="preserve">A bidder which satisfies the 90% and 75% thresholds may send notices to the remaining target shareholders under section 661B to initiate the compulsory acquisition procedure. The notices must be sent within one month after the end of the offer period. The notice must be copied to ASIC and ASX.</w:t>
                        </w:r>
                      </w:p>
                    </w:tc>
                  </w:tr>
                  <w:tr>
                    <w:trPr>
                      <w:trHeight w:val="620" w:hRule="atLeast"/>
                    </w:trPr>
                    <w:tc>
                      <w:tcPr>
                        <w:vAlign w:val="top"/>
                        <w:vAlign w:val="center"/>
                      </w:tcPr>
                      <w:p>
                        <w:r>
                          <w:rPr>
                            <w:b/>
                          </w:rPr>
                          <w:t xml:space="preserve">Five business days after compulsory acquisition noticies sent</w:t>
                        </w:r>
                      </w:p>
                    </w:tc>
                    <w:tc>
                      <w:tcPr>
                        <w:vAlign w:val="top"/>
                        <w:vAlign w:val="center"/>
                      </w:tcPr>
                      <w:p>
                        <w:r>
                          <w:t xml:space="preserve">Target shares are suspended from trading on ASX</w:t>
                        </w:r>
                      </w:p>
                    </w:tc>
                    <w:tc>
                      <w:tcPr>
                        <w:vAlign w:val="top"/>
                        <w:vAlign w:val="center"/>
                      </w:tcPr>
                      <w:p>
                        <w:r>
                          <w:t xml:space="preserve">This happens automatically (ASX Listing Rule 17.4).</w:t>
                        </w:r>
                      </w:p>
                    </w:tc>
                  </w:tr>
                  <w:tr>
                    <w:trPr>
                      <w:trHeight w:val="405" w:hRule="atLeast"/>
                    </w:trPr>
                    <w:tc>
                      <w:tcPr>
                        <w:vAlign w:val="top"/>
                        <w:vAlign w:val="center"/>
                      </w:tcPr>
                      <w:p>
                        <w:r>
                          <w:rPr>
                            <w:b/>
                          </w:rPr>
                          <w:t xml:space="preserve">Three business days after suspension of trading</w:t>
                        </w:r>
                      </w:p>
                    </w:tc>
                    <w:tc>
                      <w:tcPr>
                        <w:vAlign w:val="top"/>
                        <w:vAlign w:val="center"/>
                      </w:tcPr>
                      <w:p>
                        <w:r>
                          <w:t xml:space="preserve">Target is delisted by ASX</w:t>
                        </w:r>
                      </w:p>
                    </w:tc>
                    <w:tc>
                      <w:tcPr>
                        <w:vAlign w:val="top"/>
                        <w:vAlign w:val="center"/>
                      </w:tcPr>
                      <w:p>
                        <w:r>
                          <w:t xml:space="preserve">This happens automatically (ASX Listing Rule 17.14).</w:t>
                        </w:r>
                      </w:p>
                    </w:tc>
                  </w:tr>
                  <w:tr>
                    <w:trPr>
                      <w:trHeight w:val="180" w:hRule="atLeast"/>
                    </w:trPr>
                    <w:tc>
                      <w:tcPr>
                        <w:vAlign w:val="top"/>
                        <w:vAlign w:val="center"/>
                      </w:tcPr>
                      <w:p>
                        <w:r>
                          <w:rPr>
                            <w:b/>
                          </w:rPr>
                          <w:t xml:space="preserve">One month after compulsory acquisition notices sent</w:t>
                        </w:r>
                      </w:p>
                    </w:tc>
                    <w:tc>
                      <w:tcPr>
                        <w:vAlign w:val="top"/>
                        <w:vAlign w:val="center"/>
                      </w:tcPr>
                      <w:p>
                        <w:r>
                          <w:t xml:space="preserve">Complete compulsory acquisition procedure</w:t>
                        </w:r>
                      </w:p>
                    </w:tc>
                    <w:tc>
                      <w:tcPr>
                        <w:vAlign w:val="top"/>
                        <w:vAlign w:val="center"/>
                      </w:tcPr>
                      <w:p>
                        <w:r>
                          <w:t xml:space="preserve">The earliest that compulsory acquisition can be completed is one month after the notices are sent to shareholders (section 666A). However, the process can be delayed if minority shareholders apply to the court under section 661E to stop the acquisition on the grounds that the bid price is not fair value for the shares.</w:t>
                        </w:r>
                      </w:p>
                    </w:tc>
                  </w:tr>
                </w:tbl>
                <w:p>
                  <w:pPr>
                    <w:pStyle w:val="BodyText"/>
                  </w:pPr>
                  <w:r>
                    <w:rPr>
                      <w:b/>
                    </w:rPr>
                    <w:t xml:space="preserve">5.2 Timetable for an on-market takeover bid</w:t>
                  </w:r>
                </w:p>
                <w:p>
                  <w:pPr>
                    <w:pStyle w:val="BodyText"/>
                  </w:pPr>
                  <w:r>
                    <w:t xml:space="preserve">This indicative timetable is based on the minimum timetable for an on-market takeover bid. References to time are calendar days, not business days (unless otherwise noted). All section references are to the Corporations Act unless otherwise indicated.</w:t>
                  </w:r>
                </w:p>
                <w:tbl>
                  <w:pPr>
                    <w:pStyle w:val="BodyText"/>
                  </w:pPr>
                  <w:tblPr>
                    <w:tblStyle w:val="TableGrid"/>
                    <w:tblW w:w="9495" w:type="dxa"/>
                    <w:tblCellSpacing w:w="14" w:type="dxa"/>
                    <w:tblCellMar>
                      <w:top w:w="14" w:type="dxa"/>
                      <w:left w:w="14" w:type="dxa"/>
                      <w:bottom w:w="14" w:type="dxa"/>
                      <w:right w:w="14" w:type="dxa"/>
                    </w:tblCellMar>
                  </w:tblPr>
                  <w:tblGrid>
                    <w:gridCol/>
                    <w:gridCol/>
                    <w:gridCol/>
                  </w:tblGrid>
                  <w:tr>
                    <w:trPr>
                      <w:trHeight w:val="180" w:hRule="atLeast"/>
                    </w:trPr>
                    <w:tc>
                      <w:tcPr>
                        <w:tcW w:w="2160" w:type="dxa"/>
                        <w:vAlign w:val="center"/>
                      </w:tcPr>
                      <w:p>
                        <w:r>
                          <w:rPr>
                            <w:b/>
                          </w:rPr>
                          <w:t xml:space="preserve">Timing</w:t>
                        </w:r>
                      </w:p>
                    </w:tc>
                    <w:tc>
                      <w:tcPr>
                        <w:tcW w:w="2291" w:type="dxa"/>
                        <w:vAlign w:val="center"/>
                      </w:tcPr>
                      <w:p>
                        <w:r>
                          <w:rPr>
                            <w:b/>
                          </w:rPr>
                          <w:t xml:space="preserve">Action</w:t>
                        </w:r>
                      </w:p>
                    </w:tc>
                    <w:tc>
                      <w:tcPr>
                        <w:tcW w:w="4128" w:type="dxa"/>
                        <w:vAlign w:val="center"/>
                      </w:tcPr>
                      <w:p>
                        <w:r>
                          <w:rPr>
                            <w:b/>
                          </w:rPr>
                          <w:t xml:space="preserve">Comments</w:t>
                        </w:r>
                      </w:p>
                    </w:tc>
                  </w:tr>
                  <w:tr>
                    <w:trPr>
                      <w:trHeight w:val="180" w:hRule="atLeast"/>
                    </w:trPr>
                    <w:tc>
                      <w:tcPr>
                        <w:vAlign w:val="top"/>
                        <w:vAlign w:val="center"/>
                      </w:tcPr>
                      <w:p>
                        <w:r>
                          <w:t xml:space="preserve">On or before Day 1</w:t>
                        </w:r>
                      </w:p>
                    </w:tc>
                    <w:tc>
                      <w:tcPr>
                        <w:vAlign w:val="top"/>
                        <w:vAlign w:val="center"/>
                      </w:tcPr>
                      <w:p>
                        <w:r>
                          <w:t xml:space="preserve">Public announcement of intention to make a bid</w:t>
                        </w:r>
                      </w:p>
                    </w:tc>
                    <w:tc>
                      <w:tcPr>
                        <w:vAlign w:val="top"/>
                        <w:vAlign w:val="center"/>
                      </w:tcPr>
                      <w:p>
                        <w:r>
                          <w:t xml:space="preserve">The on-market takeover offer must be made within two months of the announcement (section 631).</w:t>
                        </w:r>
                      </w:p>
                    </w:tc>
                  </w:tr>
                  <w:tr>
                    <w:trPr>
                      <w:trHeight w:val="180" w:hRule="atLeast"/>
                    </w:trPr>
                    <w:tc>
                      <w:tcPr>
                        <w:vAlign w:val="top"/>
                        <w:vAlign w:val="center"/>
                      </w:tcPr>
                      <w:p>
                        <w:r>
                          <w:t xml:space="preserve">Day 1</w:t>
                        </w:r>
                      </w:p>
                    </w:tc>
                    <w:tc>
                      <w:tcPr>
                        <w:vAlign w:val="top"/>
                        <w:vAlign w:val="center"/>
                      </w:tcPr>
                      <w:p>
                        <w:r>
                          <w:t xml:space="preserve">Bidder’s Statement (which includes the offer terms) lodged with ASIC</w:t>
                        </w:r>
                      </w:p>
                    </w:tc>
                    <w:tc>
                      <w:tcPr>
                        <w:vAlign w:val="top"/>
                        <w:vAlign w:val="center"/>
                      </w:tcPr>
                      <w:p>
                        <w:r>
                          <w:t xml:space="preserve">The contents of the formal announcement are set out in the ASIC Market Integrity Rules (ASX Market), at rule 6.1.1.</w:t>
                        </w:r>
                      </w:p>
                    </w:tc>
                  </w:tr>
                  <w:tr>
                    <w:trPr>
                      <w:trHeight w:val="180" w:hRule="atLeast"/>
                    </w:trPr>
                    <w:tc>
                      <w:tcPr>
                        <w:vAlign w:val="top"/>
                        <w:vAlign w:val="center"/>
                      </w:tcPr>
                      <w:p>
                        <w:r>
                          <w:t xml:space="preserve">Day 1</w:t>
                        </w:r>
                      </w:p>
                    </w:tc>
                    <w:tc>
                      <w:tcPr>
                        <w:vAlign w:val="top"/>
                        <w:vAlign w:val="center"/>
                      </w:tcPr>
                      <w:p>
                        <w:r>
                          <w:t xml:space="preserve">Bidder’s Statement lodged with target, ASIC and ASX</w:t>
                        </w:r>
                      </w:p>
                    </w:tc>
                    <w:tc>
                      <w:tcPr>
                        <w:vAlign w:val="top"/>
                        <w:vAlign w:val="center"/>
                      </w:tcPr>
                      <w:p>
                        <w:r>
                          <w:t xml:space="preserve">This must be done on the same day as the formal announcement to ASX (section 635).</w:t>
                        </w:r>
                      </w:p>
                    </w:tc>
                  </w:tr>
                  <w:tr>
                    <w:trPr>
                      <w:trHeight w:val="181" w:hRule="atLeast"/>
                    </w:trPr>
                    <w:tc>
                      <w:tcPr>
                        <w:vAlign w:val="top"/>
                        <w:vAlign w:val="center"/>
                      </w:tcPr>
                      <w:p>
                        <w:r>
                          <w:t xml:space="preserve">Any time on or after Day 1</w:t>
                        </w:r>
                      </w:p>
                    </w:tc>
                    <w:tc>
                      <w:tcPr>
                        <w:vAlign w:val="top"/>
                        <w:vAlign w:val="center"/>
                      </w:tcPr>
                      <w:p>
                        <w:r>
                          <w:t xml:space="preserve">Bidder may purchase shares on-market</w:t>
                        </w:r>
                      </w:p>
                    </w:tc>
                    <w:tc>
                      <w:tcPr>
                        <w:vAlign w:val="top"/>
                        <w:vAlign w:val="center"/>
                      </w:tcPr>
                      <w:p>
                        <w:r>
                          <w:t xml:space="preserve">On-market purchases can be made after the formal announcement, even before the full on-market takeover offer commences (section 611, item 2).</w:t>
                        </w:r>
                      </w:p>
                    </w:tc>
                  </w:tr>
                  <w:tr>
                    <w:trPr>
                      <w:trHeight w:val="180" w:hRule="atLeast"/>
                    </w:trPr>
                    <w:tc>
                      <w:tcPr>
                        <w:vAlign w:val="top"/>
                        <w:vAlign w:val="center"/>
                      </w:tcPr>
                      <w:p>
                        <w:r>
                          <w:t xml:space="preserve">Every day during the bid period</w:t>
                        </w:r>
                      </w:p>
                    </w:tc>
                    <w:tc>
                      <w:tcPr>
                        <w:vAlign w:val="top"/>
                        <w:vAlign w:val="center"/>
                      </w:tcPr>
                      <w:p>
                        <w:r>
                          <w:t xml:space="preserve">Bidder lodges substantial holder notices as required</w:t>
                        </w:r>
                      </w:p>
                    </w:tc>
                    <w:tc>
                      <w:tcPr>
                        <w:vAlign w:val="top"/>
                        <w:vAlign w:val="center"/>
                      </w:tcPr>
                      <w:p>
                        <w:r>
                          <w:t xml:space="preserve">The bidder must notify the target and ASX of its total voting power:</w:t>
                        </w:r>
                      </w:p>
                      <w:p>
                        <w:pPr>
                          <w:pStyle w:val="ListParagraph"/>
                          <w:numPr>
                            <w:ilvl w:val="0"/>
                            <w:numId w:val="16"/>
                          </w:numPr>
                        </w:pPr>
                        <w:r>
                          <w:t xml:space="preserve">when it first makes the bid;</w:t>
                        </w:r>
                      </w:p>
                      <w:p>
                        <w:pPr>
                          <w:pStyle w:val="ListParagraph"/>
                          <w:numPr>
                            <w:ilvl w:val="0"/>
                            <w:numId w:val="16"/>
                          </w:numPr>
                        </w:pPr>
                        <w:r>
                          <w:t xml:space="preserve">when its voting power reaches 5%; and</w:t>
                        </w:r>
                      </w:p>
                      <w:p>
                        <w:pPr>
                          <w:pStyle w:val="ListParagraph"/>
                          <w:numPr>
                            <w:ilvl w:val="0"/>
                            <w:numId w:val="16"/>
                          </w:numPr>
                        </w:pPr>
                        <w:r>
                          <w:t xml:space="preserve">every day its voting power changes by at least 1% (for example, as it receives acceptances).</w:t>
                        </w:r>
                      </w:p>
                      <w:p>
                        <w:r>
                          <w:t xml:space="preserve">The notice must be given by 9.30am on the next trading day (section 671B).</w:t>
                        </w:r>
                      </w:p>
                    </w:tc>
                  </w:tr>
                  <w:tr>
                    <w:trPr>
                      <w:trHeight w:val="180" w:hRule="atLeast"/>
                    </w:trPr>
                    <w:tc>
                      <w:tcPr>
                        <w:vAlign w:val="top"/>
                        <w:vAlign w:val="center"/>
                      </w:tcPr>
                      <w:p>
                        <w:r>
                          <w:t xml:space="preserve">By Day 15</w:t>
                        </w:r>
                      </w:p>
                    </w:tc>
                    <w:tc>
                      <w:tcPr>
                        <w:vAlign w:val="top"/>
                        <w:vAlign w:val="center"/>
                      </w:tcPr>
                      <w:p>
                        <w:r>
                          <w:t xml:space="preserve">Bidder’s Statement sent to target shareholders</w:t>
                        </w:r>
                      </w:p>
                    </w:tc>
                    <w:tc>
                      <w:tcPr>
                        <w:vAlign w:val="top"/>
                        <w:vAlign w:val="center"/>
                      </w:tcPr>
                      <w:p>
                        <w:r>
                          <w:t xml:space="preserve">The must be done within 14 days after the formal announcement. Copies of all documents sent are lodged with ASIC and ASX (section 635).</w:t>
                        </w:r>
                      </w:p>
                    </w:tc>
                  </w:tr>
                  <w:tr>
                    <w:trPr>
                      <w:trHeight w:val="180" w:hRule="atLeast"/>
                    </w:trPr>
                    <w:tc>
                      <w:tcPr>
                        <w:vAlign w:val="top"/>
                        <w:vAlign w:val="center"/>
                      </w:tcPr>
                      <w:p>
                        <w:r>
                          <w:t xml:space="preserve">By Day 15</w:t>
                        </w:r>
                      </w:p>
                    </w:tc>
                    <w:tc>
                      <w:tcPr>
                        <w:vAlign w:val="top"/>
                        <w:vAlign w:val="center"/>
                      </w:tcPr>
                      <w:p>
                        <w:r>
                          <w:t xml:space="preserve">Target’s Statement sent to target shareholders and bidder</w:t>
                        </w:r>
                      </w:p>
                    </w:tc>
                    <w:tc>
                      <w:tcPr>
                        <w:vAlign w:val="top"/>
                        <w:vAlign w:val="center"/>
                      </w:tcPr>
                      <w:p>
                        <w:r>
                          <w:t xml:space="preserve">This must be done within 14 days after the bidder’s formal announcement. Copies of all documents sent are lodged with ASIC and ASX on the same day (section 635).</w:t>
                        </w:r>
                      </w:p>
                    </w:tc>
                  </w:tr>
                  <w:tr>
                    <w:trPr>
                      <w:trHeight w:val="180" w:hRule="atLeast"/>
                    </w:trPr>
                    <w:tc>
                      <w:tcPr>
                        <w:vAlign w:val="top"/>
                        <w:vAlign w:val="center"/>
                      </w:tcPr>
                      <w:p>
                        <w:r>
                          <w:t xml:space="preserve">Day 16</w:t>
                        </w:r>
                      </w:p>
                    </w:tc>
                    <w:tc>
                      <w:tcPr>
                        <w:vAlign w:val="top"/>
                        <w:vAlign w:val="center"/>
                      </w:tcPr>
                      <w:p>
                        <w:r>
                          <w:t xml:space="preserve">Full takeover offer made on the ASX</w:t>
                        </w:r>
                      </w:p>
                    </w:tc>
                    <w:tc>
                      <w:tcPr>
                        <w:vAlign w:val="top"/>
                        <w:vAlign w:val="center"/>
                      </w:tcPr>
                      <w:p>
                        <w:r>
                          <w:t xml:space="preserve">A stockbroker acting for the bidder must make an on-market offer for all quoted shares in the target at the bid price on this day (section 635).</w:t>
                        </w:r>
                      </w:p>
                      <w:p>
                        <w:r>
                          <w:t xml:space="preserve">Payment terms for on-market acquisitions (including under the bid) are full payment on the second trading day after the transaction (called "</w:t>
                        </w:r>
                        <w:r>
                          <w:rPr>
                            <w:b/>
                          </w:rPr>
                          <w:t xml:space="preserve">T + 2</w:t>
                        </w:r>
                        <w:r>
                          <w:t xml:space="preserve">").</w:t>
                        </w:r>
                      </w:p>
                    </w:tc>
                  </w:tr>
                  <w:tr>
                    <w:trPr>
                      <w:trHeight w:val="180" w:hRule="atLeast"/>
                    </w:trPr>
                    <w:tc>
                      <w:tcPr>
                        <w:vAlign w:val="top"/>
                        <w:vAlign w:val="center"/>
                      </w:tcPr>
                      <w:p>
                        <w:r>
                          <w:t xml:space="preserve">Up to five trading days before the end of the offer period</w:t>
                        </w:r>
                      </w:p>
                    </w:tc>
                    <w:tc>
                      <w:tcPr>
                        <w:vAlign w:val="top"/>
                        <w:vAlign w:val="center"/>
                      </w:tcPr>
                      <w:p>
                        <w:r>
                          <w:t xml:space="preserve">Increase the bid price</w:t>
                        </w:r>
                      </w:p>
                    </w:tc>
                    <w:tc>
                      <w:tcPr>
                        <w:vAlign w:val="top"/>
                        <w:vAlign w:val="center"/>
                      </w:tcPr>
                      <w:p>
                        <w:r>
                          <w:t xml:space="preserve">The broker acting for the bidder must publicly announce the increased price to ASX before placing the higher bid (ASIC Market Integrity Rule 6.2).</w:t>
                        </w:r>
                      </w:p>
                    </w:tc>
                  </w:tr>
                  <w:tr>
                    <w:trPr>
                      <w:trHeight w:val="180" w:hRule="atLeast"/>
                    </w:trPr>
                    <w:tc>
                      <w:tcPr>
                        <w:vAlign w:val="top"/>
                        <w:vAlign w:val="center"/>
                      </w:tcPr>
                      <w:p>
                        <w:r>
                          <w:t xml:space="preserve">Up to five trading days before the end of the offer period</w:t>
                        </w:r>
                      </w:p>
                    </w:tc>
                    <w:tc>
                      <w:tcPr>
                        <w:vAlign w:val="top"/>
                        <w:vAlign w:val="center"/>
                      </w:tcPr>
                      <w:p>
                        <w:r>
                          <w:t xml:space="preserve">Extend the offer period</w:t>
                        </w:r>
                      </w:p>
                    </w:tc>
                    <w:tc>
                      <w:tcPr>
                        <w:vAlign w:val="top"/>
                        <w:vAlign w:val="center"/>
                      </w:tcPr>
                      <w:p>
                        <w:r>
                          <w:t xml:space="preserve">The extension is notified to ASX, the target and ASIC (section 649C).</w:t>
                        </w:r>
                      </w:p>
                    </w:tc>
                  </w:tr>
                  <w:tr>
                    <w:trPr>
                      <w:trHeight w:val="180" w:hRule="atLeast"/>
                    </w:trPr>
                    <w:tc>
                      <w:tcPr>
                        <w:vAlign w:val="top"/>
                        <w:vAlign w:val="center"/>
                      </w:tcPr>
                      <w:p>
                        <w:r>
                          <w:t xml:space="preserve">Day 16 plus one month</w:t>
                        </w:r>
                      </w:p>
                    </w:tc>
                    <w:tc>
                      <w:tcPr>
                        <w:vAlign w:val="top"/>
                        <w:vAlign w:val="center"/>
                      </w:tcPr>
                      <w:p>
                        <w:r>
                          <w:t xml:space="preserve">Earliest date for close of the offer period</w:t>
                        </w:r>
                      </w:p>
                    </w:tc>
                    <w:tc>
                      <w:tcPr>
                        <w:vAlign w:val="top"/>
                        <w:vAlign w:val="center"/>
                      </w:tcPr>
                      <w:p>
                        <w:r>
                          <w:t xml:space="preserve">The offer period will be automatically extended under section 624(2) if, in the last seven days, the bidder’s voting power in the target increases to more than 50%. The automatic extension is to 14 days after the bidder’s voting power increases to more than 50%.</w:t>
                        </w:r>
                      </w:p>
                    </w:tc>
                  </w:tr>
                  <w:tr>
                    <w:trPr>
                      <w:trHeight w:val="180" w:hRule="atLeast"/>
                    </w:trPr>
                    <w:tc>
                      <w:tcPr>
                        <w:vAlign w:val="top"/>
                        <w:vAlign w:val="center"/>
                      </w:tcPr>
                      <w:p>
                        <w:r>
                          <w:t xml:space="preserve">Immediately after the end of the offer period</w:t>
                        </w:r>
                      </w:p>
                    </w:tc>
                    <w:tc>
                      <w:tcPr>
                        <w:vAlign w:val="top"/>
                        <w:vAlign w:val="center"/>
                      </w:tcPr>
                      <w:p>
                        <w:r>
                          <w:t xml:space="preserve">Commence compulsory acquisition procedure</w:t>
                        </w:r>
                      </w:p>
                    </w:tc>
                    <w:tc>
                      <w:tcPr>
                        <w:vAlign w:val="top"/>
                        <w:vAlign w:val="center"/>
                      </w:tcPr>
                      <w:p>
                        <w:r>
                          <w:t xml:space="preserve">A bidder which satisfies the 90% and 75% thresholds (see section 9.1) may send notices to the remaining target shareholders under section 661B to initiate the compulsory acquisition procedure. The notices must be sent within one month after the end of the offer period. The notice must be copied to ASIC and ASX</w:t>
                        </w:r>
                      </w:p>
                    </w:tc>
                  </w:tr>
                  <w:tr>
                    <w:trPr>
                      <w:trHeight w:val="180" w:hRule="atLeast"/>
                    </w:trPr>
                    <w:tc>
                      <w:tcPr>
                        <w:vAlign w:val="top"/>
                        <w:vAlign w:val="center"/>
                      </w:tcPr>
                      <w:p>
                        <w:r>
                          <w:t xml:space="preserve">Five business days after compulsory acquisition notices sent</w:t>
                        </w:r>
                      </w:p>
                    </w:tc>
                    <w:tc>
                      <w:tcPr>
                        <w:vAlign w:val="top"/>
                        <w:vAlign w:val="center"/>
                      </w:tcPr>
                      <w:p>
                        <w:r>
                          <w:t xml:space="preserve">Target shares are suspended from trading on ASX</w:t>
                        </w:r>
                      </w:p>
                    </w:tc>
                    <w:tc>
                      <w:tcPr>
                        <w:vAlign w:val="top"/>
                        <w:vAlign w:val="center"/>
                      </w:tcPr>
                      <w:p>
                        <w:r>
                          <w:t xml:space="preserve">This happens automatically (ASX Listing Rule 17.4).</w:t>
                        </w:r>
                      </w:p>
                    </w:tc>
                  </w:tr>
                  <w:tr>
                    <w:trPr>
                      <w:trHeight w:val="180" w:hRule="atLeast"/>
                    </w:trPr>
                    <w:tc>
                      <w:tcPr>
                        <w:vAlign w:val="top"/>
                        <w:vAlign w:val="center"/>
                      </w:tcPr>
                      <w:p>
                        <w:r>
                          <w:t xml:space="preserve">Three business days after suspension of trading</w:t>
                        </w:r>
                      </w:p>
                    </w:tc>
                    <w:tc>
                      <w:tcPr>
                        <w:vAlign w:val="top"/>
                        <w:vAlign w:val="center"/>
                      </w:tcPr>
                      <w:p>
                        <w:r>
                          <w:t xml:space="preserve">Target is delisted by ASX</w:t>
                        </w:r>
                      </w:p>
                    </w:tc>
                    <w:tc>
                      <w:tcPr>
                        <w:vAlign w:val="top"/>
                        <w:vAlign w:val="center"/>
                      </w:tcPr>
                      <w:p>
                        <w:r>
                          <w:t xml:space="preserve">This happens automatically (ASX Listing Rule 17.14).</w:t>
                        </w:r>
                      </w:p>
                    </w:tc>
                  </w:tr>
                  <w:tr>
                    <w:trPr>
                      <w:trHeight w:val="180" w:hRule="atLeast"/>
                    </w:trPr>
                    <w:tc>
                      <w:tcPr>
                        <w:vAlign w:val="top"/>
                        <w:vAlign w:val="center"/>
                      </w:tcPr>
                      <w:p>
                        <w:r>
                          <w:t xml:space="preserve">One month after compulsory acquisition notices sent</w:t>
                        </w:r>
                      </w:p>
                    </w:tc>
                    <w:tc>
                      <w:tcPr>
                        <w:vAlign w:val="top"/>
                        <w:vAlign w:val="center"/>
                      </w:tcPr>
                      <w:p>
                        <w:r>
                          <w:t xml:space="preserve">Complete compulsory acquisition procedure</w:t>
                        </w:r>
                      </w:p>
                    </w:tc>
                    <w:tc>
                      <w:tcPr>
                        <w:vAlign w:val="top"/>
                        <w:vAlign w:val="center"/>
                      </w:tcPr>
                      <w:p>
                        <w:r>
                          <w:t xml:space="preserve">The earliest that compulsory acquisition can be completed is one month after the notices are sent to shareholders (section 666A). However, the process can be delayed if minority shareholders apply to the court under section 661E to stop the acquisition on the grounds that the bid price is not fair value for the shares.</w:t>
                        </w:r>
                      </w:p>
                    </w:tc>
                  </w:tr>
                </w:tbl>
                <w:p>
                  <w:pPr>
                    <w:pStyle w:val="BodyText"/>
                  </w:pPr>
                  <w:r>
                    <w:rPr>
                      <w:b/>
                    </w:rPr>
                    <w:t xml:space="preserve"> 5.3 Timetable for a scheme of arrangement</w:t>
                  </w:r>
                </w:p>
                <w:tbl>
                  <w:pPr>
                    <w:pStyle w:val="BodyText"/>
                  </w:pPr>
                  <w:tblPr>
                    <w:tblStyle w:val="TableGrid"/>
                    <w:tblW w:w="9410" w:type="dxa"/>
                    <w:tblCellSpacing w:w="14" w:type="dxa"/>
                    <w:tblCellMar>
                      <w:top w:w="14" w:type="dxa"/>
                      <w:left w:w="14" w:type="dxa"/>
                      <w:bottom w:w="14" w:type="dxa"/>
                      <w:right w:w="14" w:type="dxa"/>
                    </w:tblCellMar>
                  </w:tblPr>
                  <w:tblGrid>
                    <w:gridCol/>
                    <w:gridCol/>
                    <w:gridCol/>
                  </w:tblGrid>
                  <w:tr>
                    <w:tc>
                      <w:tcPr>
                        <w:vAlign w:val="top"/>
                        <w:vAlign w:val="center"/>
                      </w:tcPr>
                      <w:p>
                        <w:r>
                          <w:rPr>
                            <w:b/>
                          </w:rPr>
                          <w:t xml:space="preserve">Timing</w:t>
                        </w:r>
                      </w:p>
                    </w:tc>
                    <w:tc>
                      <w:tcPr>
                        <w:vAlign w:val="top"/>
                        <w:vAlign w:val="center"/>
                      </w:tcPr>
                      <w:p>
                        <w:r>
                          <w:rPr>
                            <w:b/>
                          </w:rPr>
                          <w:t xml:space="preserve">Action</w:t>
                        </w:r>
                      </w:p>
                    </w:tc>
                    <w:tc>
                      <w:tcPr>
                        <w:vAlign w:val="top"/>
                        <w:vAlign w:val="center"/>
                      </w:tcPr>
                      <w:p>
                        <w:r>
                          <w:rPr>
                            <w:b/>
                          </w:rPr>
                          <w:t xml:space="preserve">Comments</w:t>
                        </w:r>
                      </w:p>
                    </w:tc>
                  </w:tr>
                  <w:tr>
                    <w:tc>
                      <w:tcPr>
                        <w:vAlign w:val="top"/>
                        <w:vAlign w:val="center"/>
                      </w:tcPr>
                      <w:p>
                        <w:r>
                          <w:t xml:space="preserve">On or before Day 1</w:t>
                        </w:r>
                      </w:p>
                    </w:tc>
                    <w:tc>
                      <w:tcPr>
                        <w:vAlign w:val="top"/>
                        <w:vAlign w:val="center"/>
                      </w:tcPr>
                      <w:p>
                        <w:r>
                          <w:t xml:space="preserve">Public announcement of agreed scheme terms (as set out in the Scheme Implementation Agreement between bidder and target)</w:t>
                        </w:r>
                      </w:p>
                    </w:tc>
                    <w:tc>
                      <w:tcPr>
                        <w:vAlign w:val="top"/>
                        <w:vAlign w:val="center"/>
                      </w:tcPr>
                      <w:p>
                        <w:r>
                          <w:t xml:space="preserve">Unlike a takeover bid, there is no specific legal obligation to send documents to target shareholders within a particular period after the announcement.</w:t>
                        </w:r>
                      </w:p>
                    </w:tc>
                  </w:tr>
                  <w:tr>
                    <w:tc>
                      <w:tcPr>
                        <w:vAlign w:val="top"/>
                        <w:vAlign w:val="center"/>
                      </w:tcPr>
                      <w:p>
                        <w:r>
                          <w:t xml:space="preserve">Day 1</w:t>
                        </w:r>
                      </w:p>
                    </w:tc>
                    <w:tc>
                      <w:tcPr>
                        <w:vAlign w:val="top"/>
                        <w:vAlign w:val="center"/>
                      </w:tcPr>
                      <w:p>
                        <w:r>
                          <w:t xml:space="preserve">Lodge draft Scheme Booklet, including independent expert's report and shareholder meeting documents, with ASIC Apply for a court date</w:t>
                        </w:r>
                      </w:p>
                    </w:tc>
                    <w:tc>
                      <w:tcPr>
                        <w:vAlign w:val="top"/>
                        <w:vAlign w:val="center"/>
                      </w:tcPr>
                      <w:p>
                        <w:r>
                          <w:t xml:space="preserve">14 days’ notice must be given to ASIC prior to the first court hearing, together with draft scheme documents.</w:t>
                        </w:r>
                      </w:p>
                    </w:tc>
                  </w:tr>
                  <w:tr>
                    <w:tc>
                      <w:tcPr>
                        <w:vAlign w:val="top"/>
                        <w:vAlign w:val="center"/>
                      </w:tcPr>
                      <w:p>
                        <w:r>
                          <w:t xml:space="preserve">Days 1 to 14</w:t>
                        </w:r>
                      </w:p>
                    </w:tc>
                    <w:tc>
                      <w:tcPr>
                        <w:vAlign w:val="top"/>
                        <w:vAlign w:val="center"/>
                      </w:tcPr>
                      <w:p>
                        <w:r>
                          <w:t xml:space="preserve">Consider ASIC comments. Lodge final documents with the court</w:t>
                        </w:r>
                      </w:p>
                    </w:tc>
                    <w:tc>
                      <w:tcPr>
                        <w:vAlign w:val="top"/>
                        <w:vAlign w:val="center"/>
                      </w:tcPr>
                      <w:p>
                        <w:r>
                          <w:t xml:space="preserve">-</w:t>
                        </w:r>
                      </w:p>
                    </w:tc>
                  </w:tr>
                  <w:tr>
                    <w:tc>
                      <w:tcPr>
                        <w:vAlign w:val="top"/>
                        <w:vAlign w:val="center"/>
                      </w:tcPr>
                      <w:p>
                        <w:r>
                          <w:t xml:space="preserve">Day 15</w:t>
                        </w:r>
                      </w:p>
                    </w:tc>
                    <w:tc>
                      <w:tcPr>
                        <w:vAlign w:val="top"/>
                        <w:vAlign w:val="center"/>
                      </w:tcPr>
                      <w:p>
                        <w:r>
                          <w:t xml:space="preserve">First court hearing</w:t>
                        </w:r>
                      </w:p>
                    </w:tc>
                    <w:tc>
                      <w:tcPr>
                        <w:vAlign w:val="top"/>
                        <w:vAlign w:val="center"/>
                      </w:tcPr>
                      <w:p>
                        <w:r>
                          <w:t xml:space="preserve">14 days after ASIC lodgement.</w:t>
                        </w:r>
                      </w:p>
                    </w:tc>
                  </w:tr>
                  <w:tr>
                    <w:tc>
                      <w:tcPr>
                        <w:vAlign w:val="top"/>
                        <w:vAlign w:val="center"/>
                      </w:tcPr>
                      <w:p>
                        <w:r>
                          <w:t xml:space="preserve">Day 22</w:t>
                        </w:r>
                      </w:p>
                    </w:tc>
                    <w:tc>
                      <w:tcPr>
                        <w:vAlign w:val="top"/>
                        <w:vAlign w:val="center"/>
                      </w:tcPr>
                      <w:p>
                        <w:r>
                          <w:t xml:space="preserve">Send Scheme Booklet and meeting documents to shareholders</w:t>
                        </w:r>
                      </w:p>
                    </w:tc>
                    <w:tc>
                      <w:tcPr>
                        <w:vAlign w:val="top"/>
                        <w:vAlign w:val="center"/>
                      </w:tcPr>
                      <w:p>
                        <w:r>
                          <w:t xml:space="preserve">Seven days assumed for printing and mailing.</w:t>
                        </w:r>
                      </w:p>
                    </w:tc>
                  </w:tr>
                  <w:tr>
                    <w:tc>
                      <w:tcPr>
                        <w:vAlign w:val="top"/>
                        <w:vAlign w:val="center"/>
                      </w:tcPr>
                      <w:p>
                        <w:r>
                          <w:t xml:space="preserve">Day 50</w:t>
                        </w:r>
                      </w:p>
                    </w:tc>
                    <w:tc>
                      <w:tcPr>
                        <w:vAlign w:val="top"/>
                        <w:vAlign w:val="center"/>
                      </w:tcPr>
                      <w:p>
                        <w:r>
                          <w:t xml:space="preserve">Scheme meeting</w:t>
                        </w:r>
                      </w:p>
                    </w:tc>
                    <w:tc>
                      <w:tcPr>
                        <w:vAlign w:val="top"/>
                        <w:vAlign w:val="center"/>
                      </w:tcPr>
                      <w:p>
                        <w:r>
                          <w:t xml:space="preserve">Minimum 28 days’ notice of meeting.</w:t>
                        </w:r>
                      </w:p>
                    </w:tc>
                  </w:tr>
                  <w:tr>
                    <w:tc>
                      <w:tcPr>
                        <w:vAlign w:val="top"/>
                        <w:vAlign w:val="center"/>
                      </w:tcPr>
                      <w:p>
                        <w:r>
                          <w:t xml:space="preserve">Day 53</w:t>
                        </w:r>
                      </w:p>
                    </w:tc>
                    <w:tc>
                      <w:tcPr>
                        <w:vAlign w:val="top"/>
                        <w:vAlign w:val="center"/>
                      </w:tcPr>
                      <w:p>
                        <w:r>
                          <w:t xml:space="preserve">Second court hearing</w:t>
                        </w:r>
                      </w:p>
                    </w:tc>
                    <w:tc>
                      <w:tcPr>
                        <w:vAlign w:val="top"/>
                        <w:vAlign w:val="center"/>
                      </w:tcPr>
                      <w:p>
                        <w:r>
                          <w:t xml:space="preserve">-</w:t>
                        </w:r>
                      </w:p>
                    </w:tc>
                  </w:tr>
                  <w:tr>
                    <w:tc>
                      <w:tcPr>
                        <w:vAlign w:val="top"/>
                        <w:vAlign w:val="center"/>
                      </w:tcPr>
                      <w:p>
                        <w:r>
                          <w:t xml:space="preserve">Day 53</w:t>
                        </w:r>
                      </w:p>
                    </w:tc>
                    <w:tc>
                      <w:tcPr>
                        <w:vAlign w:val="top"/>
                        <w:vAlign w:val="center"/>
                      </w:tcPr>
                      <w:p>
                        <w:r>
                          <w:t xml:space="preserve">Effective Date</w:t>
                        </w:r>
                      </w:p>
                    </w:tc>
                    <w:tc>
                      <w:tcPr>
                        <w:vAlign w:val="top"/>
                        <w:vAlign w:val="center"/>
                      </w:tcPr>
                      <w:p>
                        <w:r>
                          <w:t xml:space="preserve">Lodge with ASIC a copy of the court order approving the scheme, and notify ASX.</w:t>
                        </w:r>
                      </w:p>
                      <w:p>
                        <w:r>
                          <w:t xml:space="preserve">Trading in target shares is suspended from close of trading.</w:t>
                        </w:r>
                      </w:p>
                    </w:tc>
                  </w:tr>
                  <w:tr>
                    <w:tc>
                      <w:tcPr>
                        <w:vAlign w:val="top"/>
                        <w:vAlign w:val="center"/>
                      </w:tcPr>
                      <w:p>
                        <w:r>
                          <w:t xml:space="preserve">Day 53 + 3 business days</w:t>
                        </w:r>
                      </w:p>
                    </w:tc>
                    <w:tc>
                      <w:tcPr>
                        <w:vAlign w:val="top"/>
                        <w:vAlign w:val="center"/>
                      </w:tcPr>
                      <w:p>
                        <w:r>
                          <w:t xml:space="preserve">Record Date</w:t>
                        </w:r>
                      </w:p>
                    </w:tc>
                    <w:tc>
                      <w:tcPr>
                        <w:vAlign w:val="top"/>
                        <w:vAlign w:val="center"/>
                      </w:tcPr>
                      <w:p>
                        <w:r>
                          <w:t xml:space="preserve">The Record Date for determining entitlements to receive scheme price (three business days after the Effective Date).</w:t>
                        </w:r>
                      </w:p>
                    </w:tc>
                  </w:tr>
                  <w:tr>
                    <w:tc>
                      <w:tcPr>
                        <w:vAlign w:val="top"/>
                        <w:vAlign w:val="center"/>
                      </w:tcPr>
                      <w:p>
                        <w:r>
                          <w:t xml:space="preserve">By Day 63</w:t>
                        </w:r>
                      </w:p>
                    </w:tc>
                    <w:tc>
                      <w:tcPr>
                        <w:vAlign w:val="top"/>
                        <w:vAlign w:val="center"/>
                      </w:tcPr>
                      <w:p>
                        <w:r>
                          <w:t xml:space="preserve">Implementation Date</w:t>
                        </w:r>
                      </w:p>
                    </w:tc>
                    <w:tc>
                      <w:tcPr>
                        <w:vAlign w:val="top"/>
                        <w:vAlign w:val="center"/>
                      </w:tcPr>
                      <w:p>
                        <w:r>
                          <w:t xml:space="preserve">The scheme is completed, and the scheme price paid to target shareholders (usually three to five business days after Record Date).</w:t>
                        </w:r>
                      </w:p>
                    </w:tc>
                  </w:tr>
                </w:tbl>
                <w:p>
                  <w:pPr>
                    <w:pStyle w:val="BodyText"/>
                  </w:pPr>
                  <w:r>
                    <w:t xml:space="preserve">Set out below are overviews of the main steps for a typical </w:t>
                  </w:r>
                  <w:hyperlink w:history="true" r:id="R720a9a96f4bc40cf">
                    <w:r>
                      <w:rPr>
                        <w:rStyle w:val="Hyperlink"/>
                      </w:rPr>
                      <w:t xml:space="preserve">off-market takeover offer</w:t>
                    </w:r>
                  </w:hyperlink>
                  <w:r>
                    <w:t xml:space="preserve">, an </w:t>
                  </w:r>
                  <w:hyperlink w:history="true" r:id="Refac43c26b0243b7">
                    <w:r>
                      <w:rPr>
                        <w:rStyle w:val="Hyperlink"/>
                      </w:rPr>
                      <w:t xml:space="preserve">on-market takeover offer</w:t>
                    </w:r>
                  </w:hyperlink>
                  <w:r>
                    <w:t xml:space="preserve"> and a </w:t>
                  </w:r>
                  <w:hyperlink w:history="true" r:id="Rb6b3d092923e4433">
                    <w:r>
                      <w:rPr>
                        <w:rStyle w:val="Hyperlink"/>
                      </w:rPr>
                      <w:t xml:space="preserve">scheme of arrangement</w:t>
                    </w:r>
                  </w:hyperlink>
                  <w:r>
                    <w:t xml:space="preserve"> in Australia.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Takeover Tactics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Takeover Tactics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6.1 Transaction structure</w:t>
                  </w:r>
                </w:p>
                <w:p>
                  <w:pPr>
                    <w:pStyle w:val="BodyText"/>
                  </w:pPr>
                  <w:r>
                    <w:t xml:space="preserve">The table in section 4.4 above, sets out the different factors that a bidder and target company may consider when choosing a transaction structure for a takeover.</w:t>
                  </w:r>
                </w:p>
                <w:p>
                  <w:pPr>
                    <w:pStyle w:val="BodyText"/>
                  </w:pPr>
                  <w:r>
                    <w:t xml:space="preserve">The "all or nothing" outcome of a scheme generally makes it a favored acquisition structure in Australia for friendly or agreed transactions. In leveraged acquisitions, where it is essential to obtain 100% control on a certain date, it may actually be necessary to proceed by way of scheme for this reason. Likewise, a "top-hat" restructure, where all classes of shares and convertible securities are to be simultaneously exchanged for equivalent securities in a new holding company, would generally also have to be structured as a scheme for similar reasons.</w:t>
                  </w:r>
                </w:p>
                <w:p>
                  <w:pPr>
                    <w:pStyle w:val="BodyText"/>
                  </w:pPr>
                  <w:r>
                    <w:t xml:space="preserve">A scheme of arrangement might also be attractive where special corporate actions need to be undertaken in connection with the acquisition, such as where part of the acquisition price is in the form of a share buyback or capital return that requires approval by a shareholder vote.</w:t>
                  </w:r>
                </w:p>
                <w:p>
                  <w:pPr>
                    <w:pStyle w:val="BodyText"/>
                  </w:pPr>
                  <w:r>
                    <w:t xml:space="preserve">However, in a hostile situation, a takeover bid is the only feasible structure.</w:t>
                  </w:r>
                </w:p>
                <w:p>
                  <w:pPr>
                    <w:pStyle w:val="BodyText"/>
                  </w:pPr>
                  <w:r>
                    <w:rPr>
                      <w:b/>
                    </w:rPr>
                    <w:t xml:space="preserve">6.2 Deal protection mechanisms</w:t>
                  </w:r>
                </w:p>
                <w:p>
                  <w:pPr>
                    <w:pStyle w:val="BodyText"/>
                  </w:pPr>
                  <w:r>
                    <w:t xml:space="preserve">In a takeover bid that is likely to be friendly or recommended, or a scheme of arrangement, it is not unusual for the target company to grant a limited exclusivity period to the bidder, during which the bidder has exclusive access to due diligence and negotiations with the target company. In return for the bidder's commitment under either type of structure, the target will usually grant the bidder:</w:t>
                  </w:r>
                </w:p>
                <w:p>
                  <w:pPr>
                    <w:pStyle w:val="BodyText"/>
                  </w:pPr>
                  <w:pPr>
                    <w:pStyle w:val="ListParagraph"/>
                    <w:numPr>
                      <w:ilvl w:val="0"/>
                      <w:numId w:val="11"/>
                    </w:numPr>
                  </w:pPr>
                  <w:r>
                    <w:t xml:space="preserve">exclusivity, where the target gives the bidder certain exclusive negotiation and dealing rights before and after the bid is announced (discussed further below); and</w:t>
                  </w:r>
                </w:p>
                <w:p>
                  <w:pPr>
                    <w:pStyle w:val="BodyText"/>
                  </w:pPr>
                  <w:pPr>
                    <w:pStyle w:val="ListParagraph"/>
                    <w:numPr>
                      <w:ilvl w:val="0"/>
                      <w:numId w:val="11"/>
                    </w:numPr>
                  </w:pPr>
                  <w:r>
                    <w:t xml:space="preserve">a break fee, where the target agrees to pay a specific amount to the bidder if the bid fails in certain circumstances. Where there is a break fee, there may also be a reverse break fee, where the bidder agrees to pay an amount to the target in certain circumstances. To ensure that the size of the break fee neither unacceptably pressures shareholders to approve the bid nor deters a rival bidder, the Takeovers Panel recommends that target company directors cap the maximum fee payable at 1% of the equity value of the target company at the bid price as a guideline.</w:t>
                  </w:r>
                </w:p>
                <w:p>
                  <w:pPr>
                    <w:pStyle w:val="BodyText"/>
                  </w:pPr>
                  <w:r>
                    <w:t xml:space="preserve">The Takeovers Panel has issued a policy on break fees, exclusivity agreements and asset lock-ups (collectively termed lock-up devices) which aims to ensure that target companies do not hinder an efficient and competitive market for corporate control. The Takeovers Panel does not consider that lock-up devices are always unacceptable, but has laid down guidelines to ensure that target companies do not use lock-up devices to shut out potentially higher competing bids.</w:t>
                  </w:r>
                </w:p>
                <w:p>
                  <w:pPr>
                    <w:pStyle w:val="BodyText"/>
                  </w:pPr>
                  <w:r>
                    <w:rPr>
                      <w:b/>
                    </w:rPr>
                    <w:t xml:space="preserve">6.3 Exclusivity arrangements</w:t>
                  </w:r>
                </w:p>
                <w:p>
                  <w:pPr>
                    <w:pStyle w:val="BodyText"/>
                  </w:pPr>
                  <w:r>
                    <w:t xml:space="preserve">An exclusivity arrangement will usually comprise a number of individual components, including the following:</w:t>
                  </w:r>
                </w:p>
                <w:p>
                  <w:pPr>
                    <w:pStyle w:val="BodyText"/>
                  </w:pPr>
                  <w:pPr>
                    <w:pStyle w:val="ListParagraph"/>
                    <w:numPr>
                      <w:ilvl w:val="0"/>
                      <w:numId w:val="12"/>
                    </w:numPr>
                  </w:pPr>
                  <w:r>
                    <w:t xml:space="preserve">No-shop – The target company agrees not to actively solicit offers from other parties. The Takeovers Panel regards no-shop agreements as acceptable, as target directors do not have a legal duty to solicit other offers or to actively auction the company when a bid is received.</w:t>
                  </w:r>
                </w:p>
                <w:p>
                  <w:pPr>
                    <w:pStyle w:val="BodyText"/>
                  </w:pPr>
                  <w:pPr>
                    <w:pStyle w:val="ListParagraph"/>
                    <w:numPr>
                      <w:ilvl w:val="0"/>
                      <w:numId w:val="12"/>
                    </w:numPr>
                  </w:pPr>
                  <w:r>
                    <w:t xml:space="preserve">No-talk – The target company agrees not to respond to, or even negotiate with, any third party, even if the third party makes an unsolicited approach. No-talk agreements will only be acceptable if they are subject to a carve-out, which permits target directors to consider and recommend an unsolicited superior proposal in circumstances where it may be a breach of the directors' fiduciary or legal duties if they were to refuse to engage with the new bidder.</w:t>
                  </w:r>
                </w:p>
                <w:p>
                  <w:pPr>
                    <w:pStyle w:val="BodyText"/>
                  </w:pPr>
                  <w:pPr>
                    <w:pStyle w:val="ListParagraph"/>
                    <w:numPr>
                      <w:ilvl w:val="0"/>
                      <w:numId w:val="12"/>
                    </w:numPr>
                  </w:pPr>
                  <w:r>
                    <w:t xml:space="preserve">Notification – A notification obligation requires the target company to notify the bidder of details of any potential competing proposals.</w:t>
                  </w:r>
                </w:p>
                <w:p>
                  <w:pPr>
                    <w:pStyle w:val="BodyText"/>
                  </w:pPr>
                  <w:pPr>
                    <w:pStyle w:val="ListParagraph"/>
                    <w:numPr>
                      <w:ilvl w:val="0"/>
                      <w:numId w:val="12"/>
                    </w:numPr>
                  </w:pPr>
                  <w:r>
                    <w:t xml:space="preserve">Matching right – A notification right may be coupled with a matching right which allows the bidder to put forward a revised offer for the target company's shares to at least match the competing offer.</w:t>
                  </w:r>
                </w:p>
                <w:p>
                  <w:pPr>
                    <w:pStyle w:val="BodyText"/>
                  </w:pPr>
                  <w:r>
                    <w:t xml:space="preserve">In a scheme of arrangement, the court may scrutinize an exclusivity agreement to ensure that shareholders have not been prejudiced by it. In such cases, it may be necessary to show that exclusivity was granted by the target company only after its advisers canvassed other potential bidders, and no superior transaction was considered to be available at that time.</w:t>
                  </w:r>
                </w:p>
                <w:p>
                  <w:pPr>
                    <w:pStyle w:val="BodyText"/>
                  </w:pPr>
                  <w:r>
                    <w:rPr>
                      <w:b/>
                    </w:rPr>
                    <w:t xml:space="preserve">6.4 Defensive tactics</w:t>
                  </w:r>
                </w:p>
                <w:p>
                  <w:pPr>
                    <w:pStyle w:val="BodyText"/>
                  </w:pPr>
                  <w:r>
                    <w:t xml:space="preserve">Once a takeover bid has been announced, the defensive tactics open to a target company become very limited. For instance, there are specific restrictions on a listed target company:</w:t>
                  </w:r>
                </w:p>
                <w:p>
                  <w:pPr>
                    <w:pStyle w:val="BodyText"/>
                  </w:pPr>
                  <w:pPr>
                    <w:pStyle w:val="ListParagraph"/>
                    <w:numPr>
                      <w:ilvl w:val="0"/>
                      <w:numId w:val="13"/>
                    </w:numPr>
                  </w:pPr>
                  <w:r>
                    <w:t xml:space="preserve">issuing any new shares, options or convertible securities without prior shareholder approval; and</w:t>
                  </w:r>
                </w:p>
                <w:p>
                  <w:pPr>
                    <w:pStyle w:val="BodyText"/>
                  </w:pPr>
                  <w:pPr>
                    <w:pStyle w:val="ListParagraph"/>
                    <w:numPr>
                      <w:ilvl w:val="0"/>
                      <w:numId w:val="13"/>
                    </w:numPr>
                  </w:pPr>
                  <w:r>
                    <w:t xml:space="preserve">providing its directors with termination benefits that are triggered by a change in control of the company.</w:t>
                  </w:r>
                </w:p>
                <w:p>
                  <w:pPr>
                    <w:pStyle w:val="BodyText"/>
                  </w:pPr>
                  <w:r>
                    <w:t xml:space="preserve">The target company's directors also have to contend with the Takeovers Panel's policy on "frustrating action". This policy broadly restricts the actions that a target company can undertake if the effect of the action would be to frustrate the bid and cause it to fail. The policy will apply regardless of the motives or intentions of the target company's directors.</w:t>
                  </w:r>
                </w:p>
                <w:p>
                  <w:pPr>
                    <w:pStyle w:val="BodyText"/>
                  </w:pPr>
                  <w:r>
                    <w:t xml:space="preserve">In light of these restraints, one of the best ways for a company to prevent a hostile bid is to make arrangements well in advance of any bid being announced. Appropriate arrangements could include share placements and strategic alliances with like-minded parties, share buybacks and other capital maintenance tools, regular communication with shareholders, and other measures designed to ensure the company's share price reflects the full value of its strengths and available opportunities.</w:t>
                  </w:r>
                </w:p>
                <w:p>
                  <w:pPr>
                    <w:pStyle w:val="BodyText"/>
                  </w:pPr>
                  <w:r>
                    <w:t xml:space="preserve">Once a hostile bid is announced, the target company's directors will often respond by attacking the Bidder's Statement or bid structure in the Takeovers Panel, or (where the bidder offers its own scrip) by attacking the value of the bidder's offer. Target company directors may also try to improve the bid price by negotiating with the bidder in exchange for a recommendation to accept the offer, or by creating an auction to attract other bidders.</w:t>
                  </w:r>
                </w:p>
                <w:p>
                  <w:pPr>
                    <w:pStyle w:val="BodyText"/>
                  </w:pPr>
                  <w:r>
                    <w:rPr>
                      <w:b/>
                    </w:rPr>
                    <w:t xml:space="preserve">6.5 Insider trading</w:t>
                  </w:r>
                </w:p>
                <w:p>
                  <w:pPr>
                    <w:pStyle w:val="BodyText"/>
                  </w:pPr>
                  <w:r>
                    <w:t xml:space="preserve">The Corporations Act prohibits any person subscribing for, purchasing or selling shares in a company or procuring another party to do so, where that person possesses information that is not generally available and, if it were, would be expected by a reasonable person to have a material effect on the price or value of shares in that company. The person must also know or ought to reasonably be expected to know that the information is not generally available and, if it were, it might have a material effect on the price or value of those shares.</w:t>
                  </w:r>
                </w:p>
                <w:p>
                  <w:pPr>
                    <w:pStyle w:val="BodyText"/>
                  </w:pPr>
                  <w:r>
                    <w:t xml:space="preserve">A potential bidder who is already a major shareholder in a target company or has been granted access to due diligence by the target company may be in possession of information which is not generally available and would be likely to materially affect the price of shares in the target company. Provided the information is disclosed to the market (such as in the Bidder's Statement or Target's Statement) before any shares are acquired, contravention of the insider trading provisions is not likely to occur.</w:t>
                  </w:r>
                </w:p>
                <w:p>
                  <w:pPr>
                    <w:pStyle w:val="BodyText"/>
                  </w:pPr>
                  <w:r>
                    <w:rPr>
                      <w:b/>
                    </w:rPr>
                    <w:t xml:space="preserve">6.6 Statements of intention</w:t>
                  </w:r>
                </w:p>
                <w:p>
                  <w:pPr>
                    <w:pStyle w:val="BodyText"/>
                  </w:pPr>
                  <w:r>
                    <w:t xml:space="preserve">A mechanism through which a bidder may build support for a takeover bid or scheme is by target shareholders making a public statement or consenting to a public statement being made which is attributed to them, to the effect that they intend to vote in favor of the scheme or accept the takeover bid (as the case may be). This attracts the "truth in takeovers" policy, under which ASIC states that it will hold target shareholders to the course of action contained in their public statements of intention, akin to a promise.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Squeeze-out of Minority Shareholders after Completion of the Takeover</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Squeeze-out of Minority Shareholders after Completion of the Takeover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7.1 Squeeze-out following a takeover bid</w:t>
                  </w:r>
                </w:p>
                <w:p>
                  <w:pPr>
                    <w:pStyle w:val="BodyText"/>
                  </w:pPr>
                  <w:r>
                    <w:t xml:space="preserve">The Corporations Act provides a statutory call option in favor of the bidder and a put option in favor of remaining target shareholders in certain circumstances. A bidder under a takeover bid may compulsorily acquire any remaining target shares if, by the end of the offer period:</w:t>
                  </w:r>
                </w:p>
                <w:p>
                  <w:pPr>
                    <w:pStyle w:val="BodyText"/>
                  </w:pPr>
                  <w:pPr>
                    <w:pStyle w:val="ListParagraph"/>
                    <w:numPr>
                      <w:ilvl w:val="0"/>
                      <w:numId w:val="10"/>
                    </w:numPr>
                  </w:pPr>
                  <w:r>
                    <w:t xml:space="preserve">the bidder and its associates have relevant interests in 90% by number of the shares in the bid class; and</w:t>
                  </w:r>
                </w:p>
                <w:p>
                  <w:pPr>
                    <w:pStyle w:val="BodyText"/>
                  </w:pPr>
                  <w:pPr>
                    <w:pStyle w:val="ListParagraph"/>
                    <w:numPr>
                      <w:ilvl w:val="0"/>
                      <w:numId w:val="10"/>
                    </w:numPr>
                  </w:pPr>
                  <w:r>
                    <w:t xml:space="preserve">the bidder and its associates have acquired at least 75% by number of the shares that the bidder offered to acquire under the bid (whether the acquisitions occurred under the bid or otherwise).</w:t>
                  </w:r>
                </w:p>
                <w:p>
                  <w:pPr>
                    <w:pStyle w:val="BodyText"/>
                  </w:pPr>
                  <w:r>
                    <w:t xml:space="preserve">In the event the thresholds are reached and the bidder does not use the compulsory acquisition mechanism, the remaining shareholders have the right to require the bidder to buy their shares. Holders of non-voting shares, renounceable options and convertible notes have similar rights to have their shares acquired by the bidder.</w:t>
                  </w:r>
                </w:p>
                <w:p>
                  <w:pPr>
                    <w:pStyle w:val="BodyText"/>
                  </w:pPr>
                  <w:r>
                    <w:rPr>
                      <w:b/>
                    </w:rPr>
                    <w:t xml:space="preserve">7.2 Squeeze-out following a scheme of arrangement</w:t>
                  </w:r>
                </w:p>
                <w:p>
                  <w:pPr>
                    <w:pStyle w:val="BodyText"/>
                  </w:pPr>
                  <w:r>
                    <w:t xml:space="preserve">Schemes have an "all or nothing" outcome depending on whether the approval thresholds are met. Accordingly, unlike a takeover bid, the scheme process results in the bidder acquiring all the target company's shares once the scheme is implemented.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Delisting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Delisting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It is usual for a target company to be removed from the ASX following a successful takeover bid or scheme of arrangement. Following compulsory acquisition by a bidder in a takeover bid or a scheme of arrangement, the ASX automatically suspends quotation of the target company's shares. The ASX will then remove the target company from the official list at the close of trading on a date in the ASX's discretion. This is normally the third business day following suspension of the target company's shares.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Derek Pocock in the Brisbane office, Kate Jefferson and Lance Sacks in the Sydney office and Richard Lustig and Rick Troiano in the Melbourne office are the most appropriate contacts within Baker McKenzie for inquiries about public M&amp;A in Australia.</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38"/>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34"/>
    <w:lvlOverride w:ilvl="0">
      <w:startOverride w:val="1"/>
    </w:lvlOverride>
  </w:num>
  <w:num w:numId="24">
    <w:abstractNumId w:val="34"/>
    <w:lvlOverride w:ilvl="0">
      <w:startOverride w:val="1"/>
    </w:lvlOverride>
  </w:num>
  <w:num w:numId="25">
    <w:abstractNumId w:val="34"/>
    <w:lvlOverride w:ilvl="0">
      <w:startOverride w:val="1"/>
    </w:lvlOverride>
  </w:num>
  <w:num w:numId="26">
    <w:abstractNumId w:val="34"/>
    <w:lvlOverride w:ilvl="0">
      <w:startOverride w:val="1"/>
    </w:lvlOverride>
  </w:num>
  <w:num w:numId="27">
    <w:abstractNumId w:val="38"/>
    <w:lvlOverride w:ilvl="0">
      <w:startOverride w:val="1"/>
    </w:lvlOverride>
  </w:num>
  <w:num w:numId="28">
    <w:abstractNumId w:val="34"/>
    <w:lvlOverride w:ilvl="0">
      <w:startOverride w:val="1"/>
    </w:lvlOverride>
  </w:num>
  <w:num w:numId="29">
    <w:abstractNumId w:val="34"/>
    <w:lvlOverride w:ilvl="0">
      <w:startOverride w:val="1"/>
    </w:lvlOverride>
  </w:num>
  <w:num w:numId="30">
    <w:abstractNumId w:val="34"/>
    <w:lvlOverride w:ilvl="0">
      <w:startOverride w:val="1"/>
    </w:lvlOverride>
  </w:num>
  <w:num w:numId="31">
    <w:abstractNumId w:val="34"/>
    <w:lvlOverride w:ilvl="0">
      <w:startOverride w:val="1"/>
    </w:lvlOverride>
  </w:num>
  <w:num w:numId="32">
    <w:abstractNumId w:val="34"/>
    <w:lvlOverride w:ilvl="0">
      <w:startOverride w:val="1"/>
    </w:lvlOverride>
  </w:num>
  <w:num w:numId="33">
    <w:abstractNumId w:val="34"/>
    <w:lvlOverride w:ilvl="0">
      <w:startOverride w:val="1"/>
    </w:lvlOverride>
  </w:num>
  <w:num w:numId="34">
    <w:abstractNumId w:val="34"/>
    <w:lvlOverride w:ilvl="0">
      <w:startOverride w:val="1"/>
    </w:lvlOverride>
  </w:num>
  <w:num w:numId="35">
    <w:abstractNumId w:val="34"/>
    <w:lvlOverride w:ilvl="0">
      <w:startOverride w:val="1"/>
    </w:lvlOverride>
  </w:num>
  <w:num w:numId="36">
    <w:abstractNumId w:val="34"/>
    <w:lvlOverride w:ilvl="0">
      <w:startOverride w:val="1"/>
    </w:lvlOverride>
  </w:num>
  <w:num w:numId="37">
    <w:abstractNumId w:val="34"/>
    <w:lvlOverride w:ilvl="0">
      <w:startOverride w:val="1"/>
    </w:lvlOverride>
  </w:num>
  <w:num w:numId="38">
    <w:abstractNumId w:val="34"/>
    <w:lvlOverride w:ilvl="0">
      <w:startOverride w:val="1"/>
    </w:lvlOverride>
  </w:num>
  <w:num w:numId="39">
    <w:abstractNumId w:val="34"/>
    <w:lvlOverride w:ilvl="0">
      <w:startOverride w:val="1"/>
    </w:lvlOverride>
  </w:num>
  <w:num w:numId="40">
    <w:abstractNumId w:val="34"/>
    <w:lvlOverride w:ilvl="0">
      <w:startOverride w:val="1"/>
    </w:lvlOverride>
  </w:num>
  <w:num w:numId="41">
    <w:abstractNumId w:val="34"/>
    <w:lvlOverride w:ilvl="0">
      <w:startOverride w:val="1"/>
    </w:lvlOverride>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34"/>
    <w:lvlOverride w:ilvl="0">
      <w:startOverride w:val="1"/>
    </w:lvlOverride>
  </w:num>
  <w:num w:numId="46">
    <w:abstractNumId w:val="34"/>
    <w:lvlOverride w:ilvl="0">
      <w:startOverride w:val="1"/>
    </w:lvlOverride>
  </w:num>
  <w:num w:numId="47">
    <w:abstractNumId w:val="34"/>
    <w:lvlOverride w:ilvl="0">
      <w:startOverride w:val="1"/>
    </w:lvlOverride>
  </w:num>
  <w:num w:numId="48">
    <w:abstractNumId w:val="34"/>
    <w:lvlOverride w:ilvl="0">
      <w:startOverride w:val="1"/>
    </w:lvlOverride>
  </w:num>
  <w:num w:numId="49">
    <w:abstractNumId w:val="34"/>
    <w:lvlOverride w:ilvl="0">
      <w:startOverride w:val="1"/>
    </w:lvlOverride>
  </w:num>
  <w:num w:numId="50">
    <w:abstractNumId w:val="42"/>
    <w:lvlOverride w:ilvl="0">
      <w:startOverride w:val="1"/>
    </w:lvlOverride>
  </w:num>
  <w:num w:numId="51">
    <w:abstractNumId w:val="42"/>
    <w:lvlOverride w:ilvl="0">
      <w:startOverride w:val="1"/>
    </w:lvlOverride>
  </w:num>
  <w:num w:numId="52">
    <w:abstractNumId w:val="42"/>
    <w:lvlOverride w:ilvl="0">
      <w:startOverride w:val="1"/>
    </w:lvlOverride>
  </w:num>
  <w:num w:numId="53">
    <w:abstractNumId w:val="42"/>
    <w:lvlOverride w:ilvl="0">
      <w:startOverride w:val="1"/>
    </w:lvlOverride>
  </w:num>
  <w:num w:numId="54">
    <w:abstractNumId w:val="46"/>
    <w:lvlOverride w:ilvl="0">
      <w:startOverride w:val="1"/>
    </w:lvlOverride>
  </w:num>
  <w:num w:numId="55">
    <w:abstractNumId w:val="42"/>
    <w:lvlOverride w:ilvl="0">
      <w:startOverride w:val="1"/>
    </w:lvlOverride>
  </w:num>
  <w:num w:numId="56">
    <w:abstractNumId w:val="42"/>
    <w:lvlOverride w:ilvl="0">
      <w:startOverride w:val="1"/>
    </w:lvlOverride>
  </w:num>
  <w:num w:numId="57">
    <w:abstractNumId w:val="42"/>
    <w:lvlOverride w:ilvl="0">
      <w:startOverride w:val="1"/>
    </w:lvlOverride>
  </w:num>
  <w:num w:numId="58">
    <w:abstractNumId w:val="42"/>
    <w:lvlOverride w:ilvl="0">
      <w:startOverride w:val="1"/>
    </w:lvlOverride>
  </w:num>
  <w:num w:numId="59">
    <w:abstractNumId w:val="42"/>
    <w:lvlOverride w:ilvl="0">
      <w:startOverride w:val="1"/>
    </w:lvlOverride>
  </w:num>
  <w:num w:numId="60">
    <w:abstractNumId w:val="42"/>
    <w:lvlOverride w:ilvl="0">
      <w:startOverride w:val="1"/>
    </w:lvlOverride>
  </w:num>
  <w:num w:numId="61">
    <w:abstractNumId w:val="42"/>
    <w:lvlOverride w:ilvl="0">
      <w:startOverride w:val="1"/>
    </w:lvlOverride>
  </w:num>
  <w:num w:numId="62">
    <w:abstractNumId w:val="42"/>
    <w:lvlOverride w:ilvl="0">
      <w:startOverride w:val="1"/>
    </w:lvlOverride>
  </w:num>
  <w:num w:numId="63">
    <w:abstractNumId w:val="42"/>
    <w:lvlOverride w:ilvl="0">
      <w:startOverride w:val="1"/>
    </w:lvlOverride>
  </w:num>
  <w:num w:numId="64">
    <w:abstractNumId w:val="42"/>
    <w:lvlOverride w:ilvl="0">
      <w:startOverride w:val="1"/>
    </w:lvlOverride>
  </w:num>
  <w:num w:numId="65">
    <w:abstractNumId w:val="42"/>
    <w:lvlOverride w:ilvl="0">
      <w:startOverride w:val="1"/>
    </w:lvlOverride>
  </w:num>
  <w:num w:numId="66">
    <w:abstractNumId w:val="42"/>
    <w:lvlOverride w:ilvl="0">
      <w:startOverride w:val="1"/>
    </w:lvlOverride>
  </w:num>
  <w:num w:numId="67">
    <w:abstractNumId w:val="42"/>
    <w:lvlOverride w:ilvl="0">
      <w:startOverride w:val="1"/>
    </w:lvlOverride>
  </w:num>
  <w:num w:numId="68">
    <w:abstractNumId w:val="42"/>
    <w:lvlOverride w:ilvl="0">
      <w:startOverride w:val="1"/>
    </w:lvlOverride>
  </w:num>
  <w:num w:numId="69">
    <w:abstractNumId w:val="50"/>
    <w:lvlOverride w:ilvl="0">
      <w:startOverride w:val="1"/>
    </w:lvlOverride>
  </w:num>
  <w:num w:numId="70">
    <w:abstractNumId w:val="50"/>
    <w:lvlOverride w:ilvl="0">
      <w:startOverride w:val="1"/>
    </w:lvlOverride>
  </w:num>
  <w:num w:numId="71">
    <w:abstractNumId w:val="50"/>
    <w:lvlOverride w:ilvl="0">
      <w:startOverride w:val="1"/>
    </w:lvlOverride>
  </w:num>
  <w:num w:numId="72">
    <w:abstractNumId w:val="50"/>
    <w:lvlOverride w:ilvl="0">
      <w:startOverride w:val="1"/>
    </w:lvlOverride>
  </w:num>
  <w:num w:numId="73">
    <w:abstractNumId w:val="50"/>
    <w:lvlOverride w:ilvl="0">
      <w:startOverride w:val="1"/>
    </w:lvlOverride>
  </w:num>
  <w:num w:numId="74">
    <w:abstractNumId w:val="50"/>
    <w:lvlOverride w:ilvl="0">
      <w:startOverride w:val="1"/>
    </w:lvlOverride>
  </w:num>
  <w:num w:numId="75">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global-public-ma-handbook/files/2020-version/timeline_australia.pdf?rev=55debbf981f141a8b4aa36f3739cb016" TargetMode="External" Id="R720a9a96f4bc40cf" /><Relationship Type="http://schemas.openxmlformats.org/officeDocument/2006/relationships/hyperlink" Target="https://resourcehub.bakermckenzie.com/en/-/media/global-public-ma-handbook/files/2020-version/timeline_australia_.pdf?rev=ce1f6ffcec534d509467860604028cbd" TargetMode="External" Id="Refac43c26b0243b7" /><Relationship Type="http://schemas.openxmlformats.org/officeDocument/2006/relationships/hyperlink" Target="https://resourcehub.bakermckenzie.com/en/-/media/global-public-ma-handbook/files/2020-version/timeline_australia__.pdf?rev=29c6eab8eb194b88a016b5e7e539caad" TargetMode="External" Id="Rb6b3d092923e443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