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Public Procurement World - Malaysia</w:t>
      </w:r>
      <w:r w:rsidR="00480329"/>
    </w:p>
    <w:p w:rsidRPr="00BC7873" w:rsidR="00BC7873" w:rsidP="00D354EF" w:rsidRDefault="00051AB4" w14:paraId="2476CC56" w14:textId="2FB25FA9">
      <w:pPr>
        <w:pStyle w:val="Title"/>
      </w:pPr>
      <w:r w:rsidRPr="00BC7873">
        <w:t>3. Procurement Procedures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 What procurement procedures can be followed?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As a general rule, any company that seeks to supply goods or services to any Government agency must first register with the MOF as a supplier through an electronic registration system via the MOF website (known as the "ePerolehan" website). An exception to this registration rule is if the value of the procurement is below RM 20,000, to which there is no requirement for the supplier to be registered with the MOF. </w:t>
              </w:r>
            </w:p>
            <w:p>
              <w:pPr>
                <w:pStyle w:val="BodyText"/>
              </w:pPr>
              <w:r>
                <w:t xml:space="preserve">For contracts between RM 20,000 and RM 50,000, quotations for contracts can be sought from any local supplier company registered with the MOF (regardless of Bumiputera status); </w:t>
              </w:r>
            </w:p>
            <w:p>
              <w:pPr>
                <w:pStyle w:val="BodyText"/>
              </w:pPr>
              <w:r>
                <w:t xml:space="preserve">For contracts between RM 50,000 and RM 100,000, quotations must only be sought from Bumiputera companies registered with the MOF; </w:t>
              </w:r>
            </w:p>
            <w:p>
              <w:pPr>
                <w:pStyle w:val="BodyText"/>
              </w:pPr>
              <w:r>
                <w:t xml:space="preserve">For contracts between RM 100,000 and RM 500,000, quotations for contracts can be sought from any local supplier company registered with the MOF (regardless of Bumiputera status) but price preference must be conferred upon Bumiputera companies registered with the MOF. </w:t>
              </w:r>
            </w:p>
            <w:p>
              <w:pPr>
                <w:pStyle w:val="BodyText"/>
              </w:pPr>
              <w:r>
                <w:t xml:space="preserve">For contracts above RM 500,000 an open tender must be issued by the relevant procuring agency.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b. What status do electronic means/procedures have?</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All procurement of supplies and services by the Federal Government are required to be carried out using the electronic government procurement system known as the </w:t>
              </w:r>
              <w:r>
                <w:rPr>
                  <w:i/>
                </w:rPr>
                <w:t xml:space="preserve">ePerolehan</w:t>
              </w:r>
              <w:r>
                <w:t xml:space="preserve"> system.</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 Where are contract notices, i.e. calls for bid, published?</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For supplies and services, quotation and tender notices are published on the e-perolehan website:</w:t>
              </w:r>
            </w:p>
            <w:p>
              <w:pPr>
                <w:pStyle w:val="BodyText"/>
              </w:pPr>
              <w:hyperlink w:history="true" r:id="Rc7d3d94a3c9845bc">
                <w:r>
                  <w:rPr>
                    <w:rStyle w:val="Hyperlink"/>
                  </w:rPr>
                  <w:t xml:space="preserve">http://home.eperolehan.gov.my/makluman-tender-sebutharga-ebidding</w:t>
                </w:r>
              </w:hyperlink>
            </w:p>
            <w:p>
              <w:pPr>
                <w:pStyle w:val="BodyText"/>
              </w:pPr>
              <w:r>
                <w:t xml:space="preserve">For works, tender notices are published on the Construction Industry Development Board's ("</w:t>
              </w:r>
              <w:r>
                <w:rPr>
                  <w:b/>
                </w:rPr>
                <w:t xml:space="preserve">CIDB</w:t>
              </w:r>
              <w:r>
                <w:t xml:space="preserve">") e-advertisement website:</w:t>
              </w:r>
            </w:p>
            <w:p>
              <w:pPr>
                <w:pStyle w:val="BodyText"/>
              </w:pPr>
              <w:hyperlink w:history="true" r:id="R971725f13a604dec">
                <w:r>
                  <w:rPr>
                    <w:rStyle w:val="Hyperlink"/>
                  </w:rPr>
                  <w:t xml:space="preserve">http://eiklan.cidb.gov.my/</w:t>
                </w:r>
              </w:hyperlink>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c. Can certain prospective bidders be excluded from the competition?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w:t>
              </w:r>
            </w:p>
          </w:sdtContent>
        </w:sdt>
      </w:sdtContent>
    </w:sdt>
    <w:p>
      <w:pPr>
        <w:pStyle w:val="Disclaimer"/>
      </w:pPr>
      <w:r>
        <w:t xml:space="preserve"> </w:t>
      </w:r>
    </w:p>
    <w:p>
      <w:pPr>
        <w:pStyle w:val="Disclaimer"/>
      </w:pPr>
      <w:r>
        <w:t xml:space="preserve">©Copyright © 2024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https://resourcehub.bakermckenzie.com/en/resources/public-procurement-world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home.eperolehan.gov.my/makluman-tender-sebutharga-ebidding" TargetMode="External" Id="Rc7d3d94a3c9845bc" /><Relationship Type="http://schemas.openxmlformats.org/officeDocument/2006/relationships/hyperlink" Target="http://eiklan.cidb.gov.my/" TargetMode="External" Id="R971725f13a604dec"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