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Thailand</w:t>
      </w:r>
      <w:r w:rsidR="00480329"/>
    </w:p>
    <w:p w:rsidRPr="00BC7873" w:rsidR="00BC7873" w:rsidP="00D354EF" w:rsidRDefault="00051AB4" w14:paraId="2476CC56" w14:textId="2FB25FA9">
      <w:pPr>
        <w:pStyle w:val="Title"/>
      </w:pPr>
      <w:r w:rsidRPr="00BC7873">
        <w:t>Information Requirements, Data Subject Rights, Accountability and Governance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information needs to be included in a privacy notice to data subjects?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w:t>
              </w:r>
              <w:r>
                <w:t xml:space="preserve">        the identity and the contact details of the controller and, where applicable, of the controller's representative</w:t>
              </w:r>
            </w:p>
            <w:p>
              <w:pPr>
                <w:pStyle w:val="BodyText"/>
              </w:pPr>
              <w:r>
                <w:t xml:space="preserve">☒</w:t>
              </w:r>
              <w:r>
                <w:t xml:space="preserve">        the contact details of the data protection officer, where applicable</w:t>
              </w:r>
            </w:p>
            <w:p>
              <w:pPr>
                <w:pStyle w:val="BodyText"/>
              </w:pPr>
              <w:r>
                <w:t xml:space="preserve">☒</w:t>
              </w:r>
              <w:r>
                <w:t xml:space="preserve">        the purposes of the processing for which the personal data is intended</w:t>
              </w:r>
            </w:p>
            <w:p>
              <w:pPr>
                <w:pStyle w:val="BodyText"/>
              </w:pPr>
              <w:r>
                <w:t xml:space="preserve">☒</w:t>
              </w:r>
              <w:r>
                <w:t xml:space="preserve">        the legal basis for the processing</w:t>
              </w:r>
            </w:p>
            <w:p>
              <w:pPr>
                <w:pStyle w:val="BodyText"/>
              </w:pPr>
              <w:r>
                <w:t xml:space="preserve">☒</w:t>
              </w:r>
              <w:r>
                <w:t xml:space="preserve">        the recipients or categories of recipients of the personal data, if any</w:t>
              </w:r>
            </w:p>
            <w:p>
              <w:pPr>
                <w:pStyle w:val="BodyText"/>
              </w:pPr>
              <w:r>
                <w:t xml:space="preserve">☒</w:t>
              </w:r>
              <w:r>
                <w:t xml:space="preserve">       information regarding data transfers to third countries, where applicable, and reference to appropriate or suitable safeguards and the means by which by to obtain a copy of them or where they have been made available</w:t>
              </w:r>
            </w:p>
            <w:p>
              <w:pPr>
                <w:pStyle w:val="BodyText"/>
              </w:pPr>
              <w:r>
                <w:t xml:space="preserve">☒</w:t>
              </w:r>
              <w:r>
                <w:t xml:space="preserve">        the period for which the personal data will be stored, or if that is not possible, the criteria used to determine that period</w:t>
              </w:r>
            </w:p>
            <w:p>
              <w:pPr>
                <w:pStyle w:val="BodyText"/>
              </w:pPr>
              <w:r>
                <w:t xml:space="preserve">☒</w:t>
              </w:r>
              <w:r>
                <w:t xml:space="preserve">        the existence of data subjects' rights, such as the right to access, rectification, erasure, data portability, etc.</w:t>
              </w:r>
            </w:p>
            <w:p>
              <w:pPr>
                <w:pStyle w:val="BodyText"/>
              </w:pPr>
              <w:r>
                <w:t xml:space="preserve">☒</w:t>
              </w:r>
              <w:r>
                <w:t xml:space="preserve">        the existence of the right to withdraw consent if processing is based on consent</w:t>
              </w:r>
            </w:p>
            <w:p>
              <w:pPr>
                <w:pStyle w:val="BodyText"/>
              </w:pPr>
              <w:r>
                <w:t xml:space="preserve">☒</w:t>
              </w:r>
              <w:r>
                <w:t xml:space="preserve">        the right to lodge a complaint with a supervisory authority</w:t>
              </w:r>
            </w:p>
            <w:p>
              <w:pPr>
                <w:pStyle w:val="BodyText"/>
              </w:pPr>
              <w:r>
                <w:t xml:space="preserve">☒</w:t>
              </w: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pPr>
                <w:pStyle w:val="BodyText"/>
              </w:pPr>
              <w:r>
                <w:t xml:space="preserve">☒</w:t>
              </w:r>
              <w:r>
                <w:t xml:space="preserve">        other</w:t>
              </w:r>
            </w:p>
            <w:p>
              <w:pPr>
                <w:pStyle w:val="BodyText"/>
              </w:pPr>
              <w:pPr>
                <w:pStyle w:val="ListParagraph"/>
                <w:numPr>
                  <w:ilvl w:val="0"/>
                  <w:numId w:val="9"/>
                </w:numPr>
              </w:pPr>
              <w:r>
                <w:t xml:space="preserve">Personal data to be collected</w:t>
              </w:r>
            </w:p>
            <w:p>
              <w:pPr>
                <w:pStyle w:val="BodyText"/>
              </w:pPr>
              <w:pPr>
                <w:pStyle w:val="ListParagraph"/>
                <w:numPr>
                  <w:ilvl w:val="0"/>
                  <w:numId w:val="9"/>
                </w:numPr>
              </w:pPr>
              <w:r>
                <w:t xml:space="preserve">Collection of personal data from other sources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subjects have specific privacy rights that must be operationalized?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w:t>
              </w:r>
              <w:r>
                <w:t xml:space="preserve">         right to access the data subject's own personal data</w:t>
              </w:r>
            </w:p>
            <w:p>
              <w:pPr>
                <w:pStyle w:val="BodyText"/>
              </w:pPr>
              <w:r>
                <w:t xml:space="preserve">☒</w:t>
              </w:r>
              <w:r>
                <w:t xml:space="preserve">         right to rectify/correct the data subject's own personal data where inaccurate or incomplete</w:t>
              </w:r>
            </w:p>
            <w:p>
              <w:pPr>
                <w:pStyle w:val="BodyText"/>
              </w:pPr>
              <w:r>
                <w:t xml:space="preserve">☒</w:t>
              </w:r>
              <w:r>
                <w:t xml:space="preserve">         right to erasure of personal data</w:t>
              </w:r>
            </w:p>
            <w:p>
              <w:pPr>
                <w:pStyle w:val="BodyText"/>
              </w:pPr>
              <w:r>
                <w:t xml:space="preserve">☒</w:t>
              </w:r>
              <w:r>
                <w:t xml:space="preserve">         right to restrict data processing</w:t>
              </w:r>
            </w:p>
            <w:p>
              <w:pPr>
                <w:pStyle w:val="BodyText"/>
              </w:pPr>
              <w:r>
                <w:t xml:space="preserve">☒</w:t>
              </w:r>
              <w:r>
                <w:t xml:space="preserve">         right to data portability</w:t>
              </w:r>
            </w:p>
            <w:p>
              <w:pPr>
                <w:pStyle w:val="BodyText"/>
              </w:pPr>
              <w:r>
                <w:t xml:space="preserve">☒</w:t>
              </w:r>
              <w:r>
                <w:t xml:space="preserve">         right to object to the processing of personal data</w:t>
              </w:r>
            </w:p>
            <w:p>
              <w:pPr>
                <w:pStyle w:val="BodyText"/>
              </w:pPr>
              <w:r>
                <w:t xml:space="preserve">☒</w:t>
              </w:r>
              <w:r>
                <w:t xml:space="preserve">         right to withdraw consent</w:t>
              </w:r>
            </w:p>
            <w:p>
              <w:pPr>
                <w:pStyle w:val="BodyText"/>
              </w:pPr>
              <w:r>
                <w:t xml:space="preserve">☒</w:t>
              </w:r>
              <w:r>
                <w:t xml:space="preserve">         other</w:t>
              </w:r>
            </w:p>
            <w:p>
              <w:pPr>
                <w:pStyle w:val="BodyText"/>
              </w:pPr>
              <w:r>
                <w:t xml:space="preserve">Right to complain to the Expert Committee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accountability and governance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rPr>
                  <w:b/>
                </w:rPr>
                <w:t xml:space="preserve">There are accountability and governance requirements to:</w:t>
              </w:r>
            </w:p>
            <w:p>
              <w:pPr>
                <w:pStyle w:val="BodyText"/>
              </w:pPr>
              <w:r>
                <w:t xml:space="preserve">☒        maintain a record of processing activities</w:t>
              </w:r>
              <w:r>
                <w:br/>
              </w:r>
              <w:r>
                <w:t xml:space="preserve">☒        implement appropriate measures to comply with data privacy and security</w:t>
              </w:r>
              <w:r>
                <w:br/>
              </w:r>
              <w:r>
                <w:t xml:space="preserve">☒        identify a specific individual as the data privacy contact for data subject or data protection authority inquiries</w:t>
              </w:r>
              <w:r>
                <w:br/>
              </w:r>
              <w:r>
                <w:t xml:space="preserve">☒        provide training to employees</w:t>
              </w:r>
              <w:r>
                <w:br/>
              </w:r>
              <w:r>
                <w:t xml:space="preserve">☒        audit or supervise data processors</w:t>
              </w:r>
              <w:r>
                <w:br/>
              </w:r>
              <w:r>
                <w:t xml:space="preserve">☒        appoint a local representative in the jurisdiction (if the controller or processor is not located in the jurisdiction)</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