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Thailand</w:t>
      </w:r>
      <w:r w:rsidR="00480329"/>
    </w:p>
    <w:p w:rsidRPr="00BC7873" w:rsidR="00BC7873" w:rsidP="00D354EF" w:rsidRDefault="00051AB4" w14:paraId="2476CC56" w14:textId="2FB25FA9">
      <w:pPr>
        <w:pStyle w:val="Title"/>
      </w:pPr>
      <w:r w:rsidRPr="00BC7873">
        <w:t>Data Processors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obligations for controllers to establish controls with respect to data processors?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Yes.</w:t>
              </w:r>
            </w:p>
            <w:p>
              <w:pPr>
                <w:pStyle w:val="BodyText"/>
              </w:pPr>
              <w:r>
                <w:t xml:space="preserve">The obligations are as follows:</w:t>
              </w:r>
            </w:p>
            <w:p>
              <w:pPr>
                <w:pStyle w:val="BodyText"/>
              </w:pPr>
              <w:r>
                <w:t xml:space="preserve">☒</w:t>
              </w:r>
              <w:r>
                <w:t xml:space="preserve">        controllers must only use processors subject to a written agreement that complies with specific requirements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direct regulatory or statutory requirements on processors?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Yes.</w:t>
              </w:r>
            </w:p>
            <w:p>
              <w:pPr>
                <w:pStyle w:val="BodyText"/>
              </w:pPr>
              <w:r>
                <w:t xml:space="preserve">The processors must: </w:t>
              </w:r>
            </w:p>
            <w:p>
              <w:pPr>
                <w:pStyle w:val="BodyText"/>
              </w:pPr>
              <w:pPr>
                <w:pStyle w:val="ListParagraph"/>
                <w:numPr>
                  <w:ilvl w:val="0"/>
                  <w:numId w:val="9"/>
                </w:numPr>
              </w:pPr>
              <w:r>
                <w:t xml:space="preserve">Carry out the activities pursuant to the instructions given by the controllers only, unless exceptions apply</w:t>
              </w:r>
            </w:p>
            <w:p>
              <w:pPr>
                <w:pStyle w:val="BodyText"/>
              </w:pPr>
              <w:pPr>
                <w:pStyle w:val="ListParagraph"/>
                <w:numPr>
                  <w:ilvl w:val="0"/>
                  <w:numId w:val="9"/>
                </w:numPr>
              </w:pPr>
              <w:r>
                <w:t xml:space="preserve">Provide appropriate security measures and notify the data controller in the event of a breach incident, and</w:t>
              </w:r>
            </w:p>
            <w:p>
              <w:pPr>
                <w:pStyle w:val="BodyText"/>
              </w:pPr>
              <w:pPr>
                <w:pStyle w:val="ListParagraph"/>
                <w:numPr>
                  <w:ilvl w:val="0"/>
                  <w:numId w:val="9"/>
                </w:numPr>
              </w:pPr>
              <w:r>
                <w:t xml:space="preserve">Prepare and maintain records of personal data processing activities in accordance with the rules and methods to be prescribed by the Personal Data Protection Committee.</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