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Thailand</w:t>
      </w:r>
      <w:r w:rsidR="00480329"/>
    </w:p>
    <w:p w:rsidRPr="00BC7873" w:rsidR="00BC7873" w:rsidP="00D354EF" w:rsidRDefault="00051AB4" w14:paraId="2476CC56" w14:textId="2FB25FA9">
      <w:pPr>
        <w:pStyle w:val="Title"/>
      </w:pPr>
      <w:r w:rsidRPr="00BC7873">
        <w:t>Data privacy and cybersecurity in a transactional context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authority issued any guidance on data privacy compliance in the context of transactional activity (including, but not limited to, share sales, asset sales, reorganizations or spinouts)?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 the context of an asset sale (the sale of a separate business unit as a going concern), does the acquiring entity inherit liability for pre-acquisition data privacy or cybersecurity breaches (connected with the assets that are the subject of the asset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Unclear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so, how would any regulatory fines be calculated?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Unclear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 the context of a share sale (where the acquiring entity acquires 100% of the shares of a target company), does the acquiring entity inherit liability for pre-acquisition data privacy or cybersecurity breaches (connected with the target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Unclear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so, how would any regulatory fines be calculated?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Unclear</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