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Germany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widely used certification in Germany is the one awarded by the German Sustainable Building Council (Deutsche Gesellschaft für Nachhaltiges Bauen or DGNB). Under this voluntary system, a building's quality is assessed over its entire life cycle. Particularly being certified in this assessment are some 50 sustainability criteria, including ecology, economy, sociocultural aspects, technology, process work flows and sites. The system is based on voluntarily outperforming the concepts that are common today. If a performance requirement is met, the DGNB awards the DGNB certificate in bronze, silver, gold, or platinum. After successful certification in gold or platinum, buildings can get an additional award, "DGNB diamond," for their architectural quality and durability. The additional award "DGNB climate positive" for climate-neutral buildings or "DGNB special environmental label" can also be awarded. In addition, there is the option of simple pre-certification in the planning phase.</w:t>
                  </w:r>
                </w:p>
                <w:p>
                  <w:pPr>
                    <w:pStyle w:val="BodyText"/>
                  </w:pPr>
                  <w:r>
                    <w:t xml:space="preserve">Federal government buildings are certified in accordance with the Evaluation System for Sustainable Buildings (Bewertungssystem Nachhaltiges Bauen). The certification system and rules are similar to the DGNB system, but have been tailored to the specifics of federal government buildings.</w:t>
                  </w:r>
                </w:p>
                <w:p>
                  <w:pPr>
                    <w:pStyle w:val="BodyText"/>
                  </w:pPr>
                  <w:r>
                    <w:t xml:space="preserve">The other two most frequently used certifications in Germany are the international Leadership in Energy and Environmental Design (LEED) and Building Research Establishment Environmental Assessment Methodology (BREEAM).</w:t>
                  </w:r>
                </w:p>
                <w:p>
                  <w:pPr>
                    <w:pStyle w:val="BodyText"/>
                  </w:pPr>
                  <w:r>
                    <w:t xml:space="preserve">Certification for new buildings in accordance with the above standards is not mandatory in Germany.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Germany, the Energy Performance of Buildings Directive has mainly been implemented via the Buildings Energy Act (Gebäudeenergiegesetz or GEG). The GEG sets out the requirements for energy performance certificates for buildings. It contains formal requirements for the certificates and stipulates the minimum information that must be provided. Energy performance certificates exclusively serve to provide information about the energy characteristics of a building and are intended to enable a rough comparison of buildings.</w:t>
                  </w:r>
                </w:p>
                <w:p>
                  <w:pPr>
                    <w:pStyle w:val="BodyText"/>
                  </w:pPr>
                  <w:r>
                    <w:t xml:space="preserve">There are two types of certificates — one is based on a building's energy demand and the other on the building's energy consumption. Energy performance certificates must be presented by the seller or landlord to the potential buyer or tenant before the sale or renting of a building or apartment. Furthermore, where a building is open for a high level of public traffic, an energy performance certificate must be displayed by the owner in a place visible to the public. In principle, the obligated party can choose to either fulfil this obligation by means of an energy performance certificate based on the building's energy demand or its energy consumption. In two cases, however, this obligation can only be fulfilled by means of a certificate based on the building's energy demand: for (i) all constellations regarding new buildings and (ii) when residential buildings that have fewer than five apartments and for which the application for a construction permit was submitted after 1 November 1977 are sold.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German law relating to apartment leases, landlords are entitled to raise the rent if they carry out measures to increase energy efficiency. The annual rent may be increased by up to 8% of the modernization costs, subject to certain absolute limits.</w:t>
                  </w:r>
                </w:p>
                <w:p>
                  <w:pPr>
                    <w:pStyle w:val="BodyText"/>
                  </w:pPr>
                  <w:r>
                    <w:t xml:space="preserve">The GEG stipulates that energy efficiency measures for buildings can be funded from the federal budget. On this basis, the German state-owned bank KfW offers financial loans on favorable terms — and sometimes even (direct) financial subsidies — for measures that increase buildings' energy efficiency. These are available for both constructing new energy-efficient buildings and modernizing existing buildings (especially in connection with heat supply measures) to boost energy efficiency. Companies can also obtain funding for various energy efficiency measures in the form of loans and financial subsidies from the Federal Office of Economics and Export Control (Bundesamt für Wirtschaft und Ausfuhrkontrolle or BAFA).</w:t>
                  </w:r>
                </w:p>
                <w:p>
                  <w:pPr>
                    <w:pStyle w:val="BodyText"/>
                  </w:pPr>
                  <w:r>
                    <w:t xml:space="preserve">Under the German Act on Renewable Energy (Erneuerbare-Energien-Gesetz or EEG), operators of renewable energy plants can receive certain subsidies in the form of the market bonus (Marktprämie), the tenant electricity surcharge (Mieterstromzuschlag) or the feed-in tariff (Einspeisevergütung). This includes photovoltaic systems on rooftops. Photovoltaic systems with an installed capacity of up to 1 megawatt-hour can receive subsidies without the need to award the contract for their construction in a tender. The introduction of the tenant electricity surcharge is intended to further promote the installation of photovoltaic systems on residential buildings. Under the tenant electricity surcharge mechanism, the operator of the system negotiates the price for the purchase of energy individually with the tenant, but additionally receives a statutory surcharge — the said tenant electricity surcharge.</w:t>
                  </w:r>
                </w:p>
                <w:p>
                  <w:pPr>
                    <w:pStyle w:val="BodyText"/>
                  </w:pPr>
                  <w:r>
                    <w:t xml:space="preserve">However, due to the successful expansion of renewable energies in recent years, Germany is increasingly relying on the market to determine the price and less on subsidies. In particular, this has led to a significant reduction in these EEG subsidies. Therefore, the feed-in tariff has now become much less attractive.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federal government of Germany has adopted the Federal Climate Protection Act (Bundes-Klimaschutzgesetz or KSG). Its goal is to implement the requirements of international agreements, such as the Paris Climate Accords and its international community target of keeping the increase in the global average temperature well below 2°C compared to the preindustrial age and preferably limiting the increase to 1.5°C.</w:t>
                  </w:r>
                </w:p>
                <w:p>
                  <w:pPr>
                    <w:pStyle w:val="BodyText"/>
                  </w:pPr>
                  <w:r>
                    <w:t xml:space="preserve">The KSG stipulates that greenhouse gas (GHG) emissions must be reduced by at least 65% by 2030 and by at least 88% by 2040. Net greenhouse gas neutrality must be achieved by 2045. Negative GHG emissions are to be achieved from 2050. To achieve these targets, the KSG stipulates maximum annual GHG emissions for individual sectors for each individual year. For the building sector, the maximum permitted quantity for 2020 is set at 118 million tons of CO2 equivalents; for 2030, the maximum permitted quantity is 67 million tons.</w:t>
                  </w:r>
                </w:p>
                <w:p>
                  <w:pPr>
                    <w:pStyle w:val="BodyText"/>
                  </w:pPr>
                  <w:r>
                    <w:t xml:space="preserve">However, this sector-specific approach may be softened by a reform of the KSG. According to the draft reform, targets will continue to be set for each individual sector; however, compliance with the KSG's requirements will no longer have to be achieved by each sector individually. Instead, it will suffice if reduction targets are met in total across all sectors. The draft reform of the KSG is currently being discussed in the German Parliament. It remains to be seen whether it will be adopted.</w:t>
                  </w:r>
                </w:p>
                <w:p>
                  <w:pPr>
                    <w:pStyle w:val="BodyText"/>
                  </w:pPr>
                  <w:r>
                    <w:t xml:space="preserve">In addition, the Energy Efficiency Act (Energieeffizienzgesetz or EnEfG) sets the target of reducing final energy consumption (Endenergieverbrauch) in Germany by at least 26.5% compared to 2008 to a final energy consumption of 1,867 terawatt-hours by 2030, and primary energy consumption (Primärenergiebedarf) by at least 39.3% to 2,252 terawatt-hours in the same period. On public bodies, the EnEfG imposes further specific annual savings targets. However, the EnEfG does not contain any specific requirements for the building sector.</w:t>
                  </w:r>
                </w:p>
                <w:p>
                  <w:pPr>
                    <w:pStyle w:val="BodyText"/>
                  </w:pPr>
                  <w:r>
                    <w:t xml:space="preserve">To implement the targets of the KSG and the EnEfG, the GEG stipulates that newly constructed buildings — both residential and nonresidential — must be built as nearly zero-energy buildings. This means that threshold values for a building's annual primary energy requirement must not be exceeded, and that the building's energy demand is, as far as possible, covered to a very large extent by energy from renewable sources. In particular, at least 65% of the heat from a building's heating system must be generated from renewable sources or unavoidable waste heat. In the case of existing buildings, a building's energy efficiency must not deteriorate as a result of modification measures. In the case of extensions and expansions, certain threshold values also apply with regard to the energy efficiency of these new parts of the building. The GEG provides for some exceptions in this respect, in particular for buildings that are only used temporarily for residential purposes.</w:t>
                  </w:r>
                </w:p>
                <w:p>
                  <w:pPr>
                    <w:pStyle w:val="BodyText"/>
                  </w:pPr>
                  <w:r>
                    <w:t xml:space="preserve">Finally, the individual German federal states (Bundesländer) have set their own reduction targets. For example, the Baden-Württemberg Climate Protection and Climate Change Adaptation Act (Klimaschutz- und Klimawandelanpassungsgesetz Baden-Württemberg or "KlimaG BW") provides for reduction targets with regard to GHG emissions in individual sectors (as well as the KSG on the federal level). According to the KlimaG BW, GHG emissions in the building sector, for instance, are to be reduced by 49% by 2030 in Baden-Württemberg.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further development and increased use of renewable energies and the substitution of fossil fuels contribute significantly to the reduction of GHG emissions. Therefore, the German federal government has adopted target percentages for energy consumption from renewable sources in the EEG.</w:t>
                  </w:r>
                </w:p>
                <w:p>
                  <w:pPr>
                    <w:pStyle w:val="BodyText"/>
                  </w:pPr>
                  <w:r>
                    <w:t xml:space="preserve">The EEG sets the target that at least 80% of gross electricity consumption in Germany should come from renewable energies by 2030. To this end, the law provides for an expansion and electricity volume path that contains annual expansion targets. Furthermore, the EEG also provides that the integration of renewable energies into the existing electricity grid must have the highest priority, and that the expansion of the corresponding renewable energy plants is in the overriding public interest.</w:t>
                  </w:r>
                </w:p>
                <w:p>
                  <w:pPr>
                    <w:pStyle w:val="BodyText"/>
                  </w:pPr>
                  <w:r>
                    <w:t xml:space="preserve">As described in "CO2 and Energy Targets", the GEG stipulates that 65% of the heat generated by newly installed heating systems must be produced from renewable energies or unavoidable waste heat. However, the law provides for numerous exceptions and transitional periods. For example, the obligation for new buildings outside of a new development area (Neubaugebiet) only applies from 2026. </w:t>
                  </w:r>
                </w:p>
                <w:p>
                  <w:pPr>
                    <w:pStyle w:val="BodyText"/>
                  </w:pPr>
                  <w:r>
                    <w:t xml:space="preserve">In contrast, the Building Electromobility Infrastructure Act (Gebäude-Elektromobilitätsinfrastruktur-Gesetz or GEIG) does not set minimum percentages of energy consumption from renewable energies. However, it also imposes requirements on the building owners in terms of sustainability. According to the GEIG, newly constructed residential buildings with more than five parking spaces must equip these parking spaces with the infrastructure for recharging electric vehicles (EVs). For nonresidential buildings and in the case of renovations, similar, although less comprehensive, obligations to provide recharging infrastructure for EVs apply.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Germany introduced a national emissions trading system for the heating sector in 2021, which is similar to the emission trading system at the European level (EU ETS 1). This means that GHG emissions from heating have their own CO2 price, with the result that the use of nonrenewable sources for heat generation is becoming increasingly expensive. This idea was adopted by the EU, and the building sector is now to be included in a separate European emissions trading system (EU ETS 2), (presumably) starting 2027.</w:t>
                  </w:r>
                </w:p>
                <w:p>
                  <w:pPr>
                    <w:pStyle w:val="BodyText"/>
                  </w:pPr>
                  <w:r>
                    <w:t xml:space="preserve">Furthermore, as mentioned in "</w:t>
                  </w:r>
                  <w:r>
                    <w:t xml:space="preserve">Incentives for Green Retrofit"</w:t>
                  </w:r>
                  <w:r>
                    <w:t xml:space="preserve">, to reduce the building sector's emissions, Germany — via the KfW and the BAFA — launched various programs providing incentives to owners of homes and other buildings for energy efficiency measures.</w:t>
                  </w:r>
                </w:p>
                <w:p>
                  <w:pPr>
                    <w:pStyle w:val="BodyText"/>
                  </w:pPr>
                  <w:r>
                    <w:t xml:space="preserve">As the target for the building sector under the KSG (see "</w:t>
                  </w:r>
                  <w:r>
                    <w:t xml:space="preserve">CO2 and Energy Targets"</w:t>
                  </w:r>
                  <w:r>
                    <w:t xml:space="preserve">) was not met in 2021, in 2022, the Federal Ministry of Housing, Urban Development and Building (Bundesministerium für Wohnen, Stadtentwicklung und Bauwesen) and the Federal Ministry of Economics (Bundeswirtschaftsministerium) presented an immediate action plan for the buildings sector, which provided for various measures to meet the sector target in the future. In particular, this included even more extensive funding for the energy-efficient refurbishment of private buildings and support for local authorities in the energy-efficient refurbishment of public buildings and facilities. These measures are largely still in force under the federal funding program for efficient buildings (Bundesförderung für effiziente Gebäude).</w:t>
                  </w:r>
                </w:p>
                <w:p>
                  <w:pPr>
                    <w:pStyle w:val="BodyText"/>
                  </w:pPr>
                  <w:r>
                    <w:t xml:space="preserve">On the other hand, the Act on Energy Services and Other Energy Efficiency Measures (Gesetz über Energiedienstleistungen und andere Energieeffizienzmaßnahmen) takes a different approach. Among other things, it obliges the public sector and large companies to conduct regular energy audits. The aim is to help to identify potential energy efficiency measures; however, it is up to the addressees to decide whether they actually use these identified energy-saving potentials.</w:t>
                  </w:r>
                </w:p>
                <w:p>
                  <w:pPr>
                    <w:pStyle w:val="BodyText"/>
                  </w:pPr>
                  <w:r>
                    <w:t xml:space="preserve">In addition, German tax law also provides for various regulations to promote energy efficiency in buildings. Under the Energy Tax Act (Energiesteuergesetz), taxes have been raised on oil and gas used to generate energy. This act has not only been intended to further reduce the use of oil and gas for energy generation, but also to generate income for the German state. The Income Tax Act (Einkommenssteuergesetz) provides for tax reductions for energy efficiency measures in buildings used for personal residential purposes. A certain proportion of the expenses for these measures can be offset against the taxpayer's rate of income tax.</w:t>
                  </w:r>
                </w:p>
                <w:p>
                  <w:pPr>
                    <w:pStyle w:val="BodyText"/>
                  </w:pPr>
                  <w:r>
                    <w:t xml:space="preserve">Individual federal states (Bundesländer) have also introduced further measures, particularly in the form of mandatory solar panels on the roofs of certain buildings. In the state of Baden-Württemberg, e.g., such an obligation to install a photovoltaic system has applied to all newly constructed nonresidential buildings and large parking lots since 1 January 2022. Starting 1 May 2022, it was extended to newly built residential buildings and, since 1 January 2023, to existing buildings in the event of extensive refurbishment.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Environmental, social and governance (ESG) criteria have become integral in shaping the landscape of real estate financings in Germany. Financial institutions and investors are increasingly recognizing the significance of sustainability considerations in their decision-making processes. Real estate developments incorporating energy efficiency, environmental sustainability and social responsibility are more likely to secure financing. Projects with robust ESG performance may benefit from lower interest rates and favorable terms, reflecting a commitment to responsible and sustainable practices.</w:t>
                  </w:r>
                </w:p>
                <w:p>
                  <w:pPr>
                    <w:pStyle w:val="BodyText"/>
                  </w:pPr>
                  <w:r>
                    <w:t xml:space="preserve">The Federal Financial Supervisory Authority published guidelines in December 2019 on dealing with sustainability risks, targeting credit institutions, investment firms, insurance companies, fund management companies and pension funds. These guidelines, while being nonbinding, outline good-practice principles for the appropriate management of ESG risks, emphasizing the integration of ESG factors into existing types of risks, such as credit, market, liquidity and operational risks.</w:t>
                  </w:r>
                </w:p>
                <w:p>
                  <w:pPr>
                    <w:pStyle w:val="BodyText"/>
                  </w:pPr>
                  <w:r>
                    <w:t xml:space="preserve">The EU has been actively developing and implementing regulations focused on ESG aspects in various sectors, including real estate finance. The EU Taxonomy Regulation, which entered into force on 1 July 2020, plays a pivotal role in this context. It provides a classification system to identify which economic activities can be considered environmentally sustainable, thereby guiding investment toward more sustainable projects, including those related to real estate. In addition to the Taxonomy Regulation, the EU's Sustainable Finance Disclosure Regulation mandates more transparency in how financial products' sustainability is reported, which is crucial for real estate investments. These regulations are part of a comprehensive EU framework to facilitate sustainable investment and ensure that investors have clear information on the sustainability of their investments. The Corporate Sustainability Reporting Directive mandates companies, including non-EU companies listed on EU markets, to report on their sustainability practices.</w:t>
                  </w:r>
                </w:p>
                <w:p>
                  <w:pPr>
                    <w:pStyle w:val="BodyText"/>
                  </w:pPr>
                  <w:r>
                    <w:t xml:space="preserve">There are various public and private programs to promote the sustainability of buildings. Germany's KfW Förderbank covers a broad spectrum of development programs in Germany and abroad. Its low-interest loans can flow to developers involved in energy-efficient construction and rehabilitation, as well as to companies and private individuals involved in renewable energies, such as sun, wind, and biomass. Several private financial institutions have programs to promote green buildings and green financings. In addition, Germany's 16 federal states (Bundesländer) offer financial support to companies, private individuals, and institutions in the fields of energy efficiency and renewable energies. The principal amounts of the loans available differ from federal state to federal state and from project to project, taking into consideration the needs of the region and the type of project. In the private sector, "crowdfunding platforms" are becoming popular. For instance, the German Environmental Foundation (Deutsche Umweltstiftung) is supporting the establishment of a crowdfunding platform focused on sustainability projects. As of fall 2014, private individuals and companies gained the opportunity to invest in these environmental projects and, hence, have helped small companies with their financing.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During the last few years, both federal and state governments in Germany have mandated green initiatives and adopted legislation in different fields of law.</w:t>
                  </w:r>
                </w:p>
                <w:p>
                  <w:pPr>
                    <w:pStyle w:val="BodyText"/>
                  </w:pPr>
                  <w:r>
                    <w:t xml:space="preserve">Based on federal regulation, municipalities are directly obliged to consider aspects of climate protection in creating zoning plans. According to Section 1(5), sentence 2 of the German Federal Building Code (Baugesetzbuch or "BauGB"), municipalities must create zoning plans that ensure a humane environment and protect the natural basis of life. However, according to Section 1a (5) BauGB, the aspects of climate protection must always be weighed up against other public and private concerns. In this regard, courts have ruled that aspects of climate protection do not take precedence in principle. </w:t>
                  </w:r>
                </w:p>
                <w:p>
                  <w:pPr>
                    <w:pStyle w:val="BodyText"/>
                  </w:pPr>
                  <w:r>
                    <w:t xml:space="preserve">In contrast, German building law not only provides for a general obligation to consider climate targets, but it also makes specific suggestions as to how municipalities can integrate climate protection measures into zoning and development plans. For example, if the municipality draws up a zoning plan, it can determine if the municipal area should be equipped with certain installations that counteract climate change. In particular, the municipalities are authorized to regulate the generation, distribution or storage of electricity and heat from renewable energies. The regulation makes further specific proposals for the implementation of climate protection measures in </w:t>
                  </w:r>
                  <w:r>
                    <w:t xml:space="preserve">sections 9 and 9 (1) No. 25 BauGB. For example, these measures propose that the municipality can stipulate the planting and maintenance of plants. Therefore, municipalities are free to specify a tree-planting pattern for parking lots or order the greening of buildings. Consequently, German building law provides for a variety of measures that empower the local government to enforce green initiatives.</w:t>
                  </w:r>
                </w:p>
                <w:p>
                  <w:pPr>
                    <w:pStyle w:val="BodyText"/>
                  </w:pPr>
                  <w:r>
                    <w:t xml:space="preserve">However, German building law does not only empower municipalities to implement climate protection measures. It also empowers the developer. Section 248 BauGB gives the developer the right to oppose certain development plans if these would prevent climate protection measures. For instance, if the development plan stipulates a certain building height that is exceeded by the installation of solar panels, the installation may still be legal. It therefore makes it possible to use the development plan in the first instance and subsequently conduct energy-efficient retrofits even though it may violate the development plan. However, these options are limited. Every deviation from the development plan must be weighed against the interests of neighbors that might be affected by the deviation. This shows that climate protection in German building law cannot be enforced against all reason. It must always be set in relation to other interests.</w:t>
                  </w:r>
                </w:p>
                <w:p>
                  <w:pPr>
                    <w:pStyle w:val="BodyText"/>
                  </w:pPr>
                  <w:r>
                    <w:t xml:space="preserve">On the level of the different German federal states (Bundesländer), governments support sustainable urban development by establishing sustainability regulations and promoting sustainable projects. However, each state pursues its own initiatives, which are adapted to the different local conditions. The states set up strategies with sustainable goals they want to achieve, finance sustainable projects and set up committees that continually redefine the objectives. Below are some examples pursued by German states: </w:t>
                  </w:r>
                </w:p>
                <w:p>
                  <w:pPr>
                    <w:pStyle w:val="BodyText"/>
                  </w:pPr>
                  <w:pPr>
                    <w:pStyle w:val="ListParagraph"/>
                    <w:numPr>
                      <w:ilvl w:val="0"/>
                      <w:numId w:val="10"/>
                    </w:numPr>
                  </w:pPr>
                  <w:r>
                    <w:t xml:space="preserve">The government of Bremen developed a concept for a sustainable business park within its "green economy strategy." The aim is to enable the businesses located there to operate sustainably and ecologically. To achieve this goal, the business park itself will provide for sustainable infrastructure. For example, the park's energy supply system is based on renewable energies. Moreover, all types of water (rainwater, wastewater from production, process water) shall be directed into a biological recycling process so that they can be reused. In addition, extensive greening of the building roofs is planned, and light emissions should be minimized. </w:t>
                  </w:r>
                </w:p>
                <w:p>
                  <w:pPr>
                    <w:pStyle w:val="BodyText"/>
                  </w:pPr>
                  <w:pPr>
                    <w:pStyle w:val="ListParagraph"/>
                    <w:numPr>
                      <w:ilvl w:val="0"/>
                      <w:numId w:val="10"/>
                    </w:numPr>
                  </w:pPr>
                  <w:r>
                    <w:t xml:space="preserve">Hesse launched the "Growth and Sustainable Renewal" funding program. The project aims to promote sustainable urban development by involving local stakeholders and granting subsidies based on sustainability considerations. Municipalities may receive subsidies for the financing of sustainable measures (e.g., re-naturalizing ditches, connecting existing green spaces, upgrading green spaces, additional greening), evaluated based on the guidelines issued by the state for promoting sustainable urban development. Currently, 45 different projects are part of the program.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requirement under German law to include green clauses in lease agreements. However, certain statutory provisions promote the sustainable use of buildings and could be considered green clauses in other jurisdictions. For example, heating and warm water costs must be largely charged to tenants based on actual consumption. Furthermore, tenants of residential premises must tolerate construction works performed by landlords during energy modernization. However, tenants generally do not have any legal means to enforce energy modernization in Germany.</w:t>
                  </w:r>
                </w:p>
                <w:p>
                  <w:pPr>
                    <w:pStyle w:val="BodyText"/>
                  </w:pPr>
                  <w:r>
                    <w:t xml:space="preserve">In October 2015, an interdisciplinary working group led by the German Private Institute for Sustainable Building (Deutsches Privates Institut für Nachhaltige Immobilienwirtschaft), which is the German certifying body of BREEAM, announced a new set of guidelines and recommendations for green leases. The working group developed sample provisions for green leases that aim to lay important foundations for sustainable building use while giving the contractual parties considerable leeway in its implementation. Furthermore, in 2018, the Zentraler Immobilien Ausschuss e.V. (ZIA) Central Real Estate Committee published guidelines and sample clauses for green leases. An update of the ZIA brochure on green leases from 2018 is being prepared.</w:t>
                  </w:r>
                </w:p>
                <w:p>
                  <w:pPr>
                    <w:pStyle w:val="BodyText"/>
                  </w:pPr>
                  <w:r>
                    <w:t xml:space="preserve">In practice, green clauses are becoming more and more frequent in commercial lease agreements. Landlords are increasingly trying to introduce green clauses when negotiating new lease agreements, and also when negotiating amendments to existing lease agreements. While landlords (and, infrequently, tenants) often try to make the proposed green clauses binding obligations, often only nonbinding, best-effort clauses are agreed on in the end. This is likely largely because there is currently no legal requirement to implement binding clauses in lease agreements. One exception is the tenant's binding obligation to provide the landlord with consumption data, which is frequently agreed on between the parties. The majority of green lease agreements with binding, rather than nonbinding, obligations are requested by landlords to ensure compliance with the requirements of an existing or planned green building certification, such as the DGNB, BREEAM or LEED.</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