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C7873" w:rsidR="00BC7873" w:rsidP="00CD1FAF" w:rsidRDefault="009E2793" w14:paraId="5605F879" w14:textId="37852614">
      <w:pPr>
        <w:pStyle w:val="Subtitle"/>
      </w:pPr>
      <w:r w:rsidRPr="00BC7873">
        <w:t>Cross-Border Listings Guide - Luxembourg - Luxembourg Stock Exchange</w:t>
      </w:r>
      <w:r w:rsidR="00480329"/>
    </w:p>
    <w:p w:rsidRPr="00BC7873" w:rsidR="00BC7873" w:rsidP="00D354EF" w:rsidRDefault="00051AB4" w14:paraId="2476CC56" w14:textId="2FB25FA9">
      <w:pPr>
        <w:pStyle w:val="Title"/>
      </w:pPr>
      <w:r w:rsidRPr="00BC7873">
        <w:t>Overview of exchange</w:t>
      </w:r>
    </w:p>
    <w:p w:rsidR="008020A8" w:rsidP="0066374E" w:rsidRDefault="00761F2A" w14:paraId="4EBE9349" w14:textId="77777777">
      <w:pPr>
        <w:pStyle w:val="Table"/>
      </w:pPr>
      <w:r>
        <w:br w:type="page"/>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8990"/>
      </w:tblGrid>
      <w:tr w:rsidR="003077B1" w:rsidTr="00704FB4" w14:paraId="1745895E" w14:textId="77777777">
        <w:trPr>
          <w:tblHeader/>
        </w:trPr>
        <w:tc>
          <w:tcPr>
            <w:tcW w:w="8990" w:type="dxa"/>
          </w:tcPr>
          <w:p w:rsidR="003077B1" w:rsidP="00E702F0" w:rsidRDefault="003077B1" w14:paraId="28BA89CF" w14:textId="77777777">
            <w:pPr>
              <w:pStyle w:val="TOCHeading"/>
              <w:spacing w:after="160"/>
            </w:pPr>
            <w:r>
              <w:lastRenderedPageBreak/>
              <w:t>Contents</w:t>
            </w:r>
          </w:p>
        </w:tc>
      </w:tr>
      <w:tr w:rsidR="003077B1" w:rsidTr="00704FB4" w14:paraId="412879A6" w14:textId="77777777">
        <w:tc>
          <w:tcPr>
            <w:tcW w:w="8990" w:type="dxa"/>
          </w:tcPr>
          <w:sdt>
            <w:sdtPr>
              <w:rPr>
                <w:rFonts w:asciiTheme="minorHAnsi" w:hAnsiTheme="minorHAnsi"/>
                <w:b/>
                <w:bCs/>
                <w:noProof/>
              </w:rPr>
              <w:id w:val="1154019052"/>
              <w:docPartObj>
                <w:docPartGallery w:val="Table of Contents"/>
                <w:docPartUnique/>
              </w:docPartObj>
            </w:sdtPr>
            <w:sdtEndPr>
              <w:rPr>
                <w:rFonts w:ascii="Arial" w:hAnsi="Arial"/>
                <w:b w:val="0"/>
                <w:bCs w:val="0"/>
                <w:noProof w:val="0"/>
              </w:rPr>
            </w:sdtEndPr>
            <w:sdtContent>
              <w:bookmarkStart w:name="_Toc33529396" w:displacedByCustomXml="next" w:id="0"/>
              <w:sdt>
                <w:sdtPr>
                  <w:rPr>
                    <w:rFonts w:asciiTheme="minorHAnsi" w:hAnsiTheme="minorHAnsi"/>
                    <w:b/>
                    <w:bCs/>
                    <w:noProof/>
                  </w:rPr>
                  <w:id w:val="-518013989"/>
                  <w:docPartObj>
                    <w:docPartGallery w:val="Table of Contents"/>
                    <w:docPartUnique/>
                  </w:docPartObj>
                </w:sdtPr>
                <w:sdtEndPr>
                  <w:rPr>
                    <w:rFonts w:ascii="Arial" w:hAnsi="Arial"/>
                    <w:b w:val="0"/>
                    <w:bCs w:val="0"/>
                    <w:noProof w:val="0"/>
                    <w:sz w:val="20"/>
                  </w:rPr>
                </w:sdtEndPr>
                <w:sdtContent>
                  <w:bookmarkEnd w:displacedByCustomXml="prev" w:id="0"/>
                  <w:p w:rsidRPr="0097103A" w:rsidR="003077B1" w:rsidP="00E702F0" w:rsidRDefault="003077B1" w14:paraId="61B39358" w14:textId="77777777">
                    <w:pPr>
                      <w:pStyle w:val="TOC1"/>
                      <w:rPr>
                        <w:sz w:val="20"/>
                      </w:rPr>
                    </w:pPr>
                    <w:r>
                      <w:fldChar w:fldCharType="begin"/>
                    </w:r>
                    <w:r>
                      <w:instrText xml:space="preserve"> TOC \o "1-2" \h \z \u </w:instrText>
                    </w:r>
                    <w:r>
                      <w:fldChar w:fldCharType="separate"/>
                    </w:r>
                    <w:r>
                      <w:t xml:space="preserve">To generate table of contents, right-click here and select </w:t>
                    </w:r>
                    <w:r w:rsidRPr="008816BB">
                      <w:rPr>
                        <w:b/>
                        <w:bCs/>
                      </w:rPr>
                      <w:t>Update Field</w:t>
                    </w:r>
                    <w:r>
                      <w:rPr>
                        <w:b/>
                        <w:bCs/>
                        <w:noProof/>
                      </w:rPr>
                      <w:t>.</w:t>
                    </w:r>
                    <w:r>
                      <w:rPr>
                        <w:b/>
                        <w:bCs/>
                        <w:noProof/>
                      </w:rPr>
                      <w:fldChar w:fldCharType="end"/>
                    </w:r>
                  </w:p>
                </w:sdtContent>
              </w:sdt>
            </w:sdtContent>
          </w:sdt>
        </w:tc>
      </w:tr>
    </w:tbl>
    <w:p w:rsidRPr="008020A8" w:rsidR="00FC6796" w:rsidP="008020A8" w:rsidRDefault="00FC6796" w14:paraId="623D7F49" w14:textId="06FCCF22">
      <w:r>
        <w:br w:type="page"/>
      </w:r>
    </w:p>
    <w:sdt>
      <w:sdtPr>
        <w:rPr>
          <w:rFonts w:eastAsiaTheme="minorHAnsi" w:cstheme="minorBidi"/>
          <w:b w:val="0"/>
          <w:color w:val="auto"/>
          <w:sz w:val="20"/>
          <w:szCs w:val="22"/>
        </w:rPr>
        <w:id w:val="-2027546159"/>
        <w:placeholder>
          <w:docPart w:val="DefaultPlaceholder_-1854013435"/>
        </w:placeholder>
        <w15:repeatingSectionItem/>
      </w:sdtPr>
      <w:sdtEndPr/>
      <w:sdtContent>
        <w:p w:rsidRPr="008020A8" w:rsidR="002263CD" w:rsidP="002263CD" w:rsidRDefault="002263CD" w14:paraId="0C719C3F" w14:textId="703033C8">
          <w:pPr>
            <w:pStyle w:val="Heading1"/>
          </w:pPr>
          <w:r>
            <w:t>Overview of exchange</w:t>
          </w:r>
        </w:p>
        <w:bookmarkStart w:name="_Toc42606705" w:displacedByCustomXml="next" w:id="1"/>
        <w:sdt>
          <w:sdtPr>
            <w:rPr>
              <w:rFonts w:eastAsiaTheme="minorHAnsi" w:cstheme="minorBidi"/>
              <w:color w:val="auto"/>
              <w:sz w:val="20"/>
              <w:szCs w:val="20"/>
            </w:rPr>
            <w:id w:val="331497857"/>
            <w:placeholder>
              <w:docPart w:val="50B9E9BC9CD645C4AEC5AAC81F840459"/>
            </w:placeholder>
            <w15:repeatingSectionItem/>
          </w:sdtPr>
          <w:sdtEndPr>
            <w:rPr>
              <w:szCs w:val="22"/>
            </w:rPr>
          </w:sdtEndPr>
          <w:sdtContent>
            <w:bookmarkEnd w:displacedByCustomXml="next" w:id="1"/>
            <w:p>
              <w:pPr>
                <w:pStyle w:val="BodyText"/>
              </w:pPr>
              <w:r>
                <w:t xml:space="preserve">[Last updated: 1 January 2024, unless otherwise noted]</w:t>
              </w:r>
            </w:p>
            <w:p>
              <w:pPr>
                <w:pStyle w:val="BodyText"/>
              </w:pPr>
              <w:r>
                <w:t xml:space="preserve">Created in 1928, the Luxembourg Stock Exchange (</w:t>
              </w:r>
              <w:r>
                <w:rPr>
                  <w:i/>
                </w:rPr>
                <w:t xml:space="preserve">Bourse de Luxembourg</w:t>
              </w:r>
              <w:r>
                <w:t xml:space="preserve">) (more commonly referred to as the LuxSE) currently operates two markets:</w:t>
              </w:r>
            </w:p>
            <w:p>
              <w:pPr>
                <w:pStyle w:val="BodyText"/>
              </w:pPr>
              <w:pPr>
                <w:pStyle w:val="ListParagraph"/>
                <w:numPr>
                  <w:ilvl w:val="0"/>
                  <w:numId w:val="9"/>
                </w:numPr>
              </w:pPr>
              <w:r>
                <w:t xml:space="preserve">A main regulated market offering a European passport (the Regulated Market).</w:t>
              </w:r>
            </w:p>
            <w:p>
              <w:pPr>
                <w:pStyle w:val="BodyText"/>
              </w:pPr>
              <w:pPr>
                <w:pStyle w:val="ListParagraph"/>
                <w:numPr>
                  <w:ilvl w:val="0"/>
                  <w:numId w:val="9"/>
                </w:numPr>
              </w:pPr>
              <w:r>
                <w:t xml:space="preserve">An exchange-regulated market (multilateral trading facility) (the Euro MTF).</w:t>
              </w:r>
            </w:p>
            <w:p>
              <w:pPr>
                <w:pStyle w:val="BodyText"/>
              </w:pPr>
              <w:r>
                <w:t xml:space="preserve">In addition, the LuxSE offers issuers the possibility to register their securities on the Securities Official List (SOL), without admission to trading. SOL is designed for issuers looking for visibility for their securities and for whom admission to trading is not a prerequisite.</w:t>
              </w:r>
            </w:p>
            <w:p>
              <w:pPr>
                <w:pStyle w:val="BodyText"/>
              </w:pPr>
              <w:r>
                <w:rPr>
                  <w:i/>
                </w:rPr>
                <w:t xml:space="preserve">The Regulated Market</w:t>
              </w:r>
            </w:p>
            <w:p>
              <w:pPr>
                <w:pStyle w:val="BodyText"/>
              </w:pPr>
              <w:r>
                <w:t xml:space="preserve">The Regulated Market offers a European passport for the admission to trading of securities to other European regulated markets. The competent regulatory authority to approve the listing prospectus is the Luxembourg Financial Supervision Commission (</w:t>
              </w:r>
              <w:r>
                <w:rPr>
                  <w:i/>
                </w:rPr>
                <w:t xml:space="preserve">Commission de Surveillance du Secteur Financier</w:t>
              </w:r>
              <w:r>
                <w:t xml:space="preserve"> or CSSF) or the competent authority of the issuer’s home member state for purposes of Regulation (EU) 2017/1129 of the European Parliament and of the Council of 14 June 2017 on the prospectus to be published when securities are offered to the public or admitted to trading on a regulated market, if it is not Luxembourg. The listing of certain securities which do not benefit from the European listing and offering passport (e.g., non-EU open-ended undertakings for collective investment, money market instruments having a maturity at the issue of less than 12 months) is not subject to CSSF approval.</w:t>
              </w:r>
            </w:p>
            <w:p>
              <w:pPr>
                <w:pStyle w:val="BodyText"/>
              </w:pPr>
              <w:r>
                <w:rPr>
                  <w:i/>
                </w:rPr>
                <w:t xml:space="preserve">The Euro MTF</w:t>
              </w:r>
            </w:p>
            <w:p>
              <w:pPr>
                <w:pStyle w:val="BodyText"/>
              </w:pPr>
              <w:r>
                <w:t xml:space="preserve">The Euro MTF was launched in 2005 and is appropriate for issuers not interested in the European passport and that wish to benefit from a European listing and less stringent financial reporting obligations. The Euro MTF market is an acceptable market for the purpose of eligibility of securities as collateral for the Eurosystem. For listings on the Euro MTF, the relevant regulatory authority is the LuxSE.</w:t>
              </w:r>
            </w:p>
            <w:p>
              <w:pPr>
                <w:pStyle w:val="BodyText"/>
              </w:pPr>
              <w:r>
                <w:t xml:space="preserve">The trading system and market rules are identical for both markets. They function with a central order book and trades are executed with the use of Euronext’s Universal Trading Platform pursuant to a partnership agreement dated 22 March 2007 between Euronext N.V. and the LuxSE.</w:t>
              </w:r>
            </w:p>
            <w:p>
              <w:pPr>
                <w:pStyle w:val="BodyText"/>
              </w:pPr>
              <w:r>
                <w:t xml:space="preserve">The LuxSE has developed a pragmatic approach over time, keen to admit innovative products to trading, including:</w:t>
              </w:r>
            </w:p>
            <w:p>
              <w:pPr>
                <w:pStyle w:val="BodyText"/>
              </w:pPr>
              <w:pPr>
                <w:pStyle w:val="ListParagraph"/>
                <w:numPr>
                  <w:ilvl w:val="0"/>
                  <w:numId w:val="10"/>
                </w:numPr>
              </w:pPr>
              <w:r>
                <w:t xml:space="preserve">The listing of the first European Eurobonds in 1963.</w:t>
              </w:r>
            </w:p>
            <w:p>
              <w:pPr>
                <w:pStyle w:val="BodyText"/>
              </w:pPr>
              <w:pPr>
                <w:pStyle w:val="ListParagraph"/>
                <w:numPr>
                  <w:ilvl w:val="0"/>
                  <w:numId w:val="10"/>
                </w:numPr>
              </w:pPr>
              <w:r>
                <w:t xml:space="preserve">The listing of global depositary receipts (GDRs) notably coming from emerging countries. Two indices were launched: the GDRs India and the GDRs Taiwan.</w:t>
              </w:r>
            </w:p>
            <w:p>
              <w:pPr>
                <w:pStyle w:val="BodyText"/>
              </w:pPr>
              <w:pPr>
                <w:pStyle w:val="ListParagraph"/>
                <w:numPr>
                  <w:ilvl w:val="0"/>
                  <w:numId w:val="10"/>
                </w:numPr>
              </w:pPr>
              <w:r>
                <w:rPr>
                  <w:i/>
                </w:rPr>
                <w:t xml:space="preserve">Shariah</w:t>
              </w:r>
              <w:r>
                <w:t xml:space="preserve">-compliant </w:t>
              </w:r>
              <w:r>
                <w:rPr>
                  <w:i/>
                </w:rPr>
                <w:t xml:space="preserve">sukuk </w:t>
              </w:r>
              <w:r>
                <w:t xml:space="preserve">loan notes, contingent convertible bonds, and Dim Sum bonds.</w:t>
              </w:r>
            </w:p>
            <w:p>
              <w:pPr>
                <w:pStyle w:val="BodyText"/>
              </w:pPr>
              <w:pPr>
                <w:pStyle w:val="ListParagraph"/>
                <w:numPr>
                  <w:ilvl w:val="0"/>
                  <w:numId w:val="10"/>
                </w:numPr>
              </w:pPr>
              <w:r>
                <w:t xml:space="preserve">Non-European undertakings for collective investment (such as Cayman and Jersey funds).</w:t>
              </w:r>
            </w:p>
            <w:p>
              <w:pPr>
                <w:pStyle w:val="BodyText"/>
              </w:pPr>
              <w:r>
                <w:t xml:space="preserve">The LuxSE does not specialize in, or encourage listings by, particular types of companies. However, over the years the LuxSE has become a prime location for the listing of depositary receipts, international bonds, and units and shares in European and non-European undertakings for collective investment.</w:t>
              </w:r>
            </w:p>
            <w:p>
              <w:pPr>
                <w:pStyle w:val="BodyText"/>
              </w:pPr>
              <w:r>
                <w:t xml:space="preserve">Historically, mainly foreign issuers and Luxembourg special purpose vehicles were listed on the LuxSE. This has not changed over the past years.</w:t>
              </w:r>
            </w:p>
            <w:p>
              <w:pPr>
                <w:pStyle w:val="BodyText"/>
              </w:pPr>
              <w:r>
                <w:t xml:space="preserve">In addition, in 2016, the LuxSE created the Luxembourg Green Exchange, which is a platform dedicated exclusively to sustainable finance where the sustainable securities traded on the Regulated Market and the EuroMTF are displayed.</w:t>
              </w:r>
            </w:p>
            <w:p>
              <w:pPr>
                <w:pStyle w:val="BodyText"/>
              </w:pPr>
              <w:r>
                <w:t xml:space="preserve">There are no different listing categories or segments. Listing admission and reporting rules are however different between the Regulated Market and the Euro MTF. The LuxSE does not recognize differences between primary and secondary listings.</w:t>
              </w:r>
            </w:p>
            <w:p>
              <w:pPr>
                <w:pStyle w:val="BodyText"/>
              </w:pPr>
              <w:r>
                <w:t xml:space="preserve">As at January 2026, more than 1,800 issuers from more than 100 different countries had securities admitted on the official list of the LuxSE. More than 43,000 securities were listed, consisting of debt securities, share classes in investment funds, stocks and shares, warrants and other securities.</w:t>
              </w:r>
            </w:p>
          </w:sdtContent>
        </w:sdt>
      </w:sdtContent>
    </w:sdt>
    <w:p>
      <w:pPr>
        <w:pStyle w:val="Disclaimer"/>
      </w:pPr>
      <w:r>
        <w:t xml:space="preserve"> </w:t>
      </w:r>
    </w:p>
    <w:p>
      <w:pPr>
        <w:pStyle w:val="Disclaimer"/>
      </w:pPr>
      <w:r>
        <w:t xml:space="preserve">©Copyright © 2026 Baker &amp; McKenzie. All rights reserved. </w:t>
      </w:r>
      <w:r>
        <w:rPr>
          <w:b/>
        </w:rPr>
        <w:t xml:space="preserve">Ownership</w:t>
      </w:r>
      <w:r>
        <w:t xml:space="preserve">: This documentation and content (Content) is a proprietary resource owned exclusively by Baker McKenzie (meaning Baker &amp; McKenzie International and its member firms). The Content is protected under international copyright conventions. Use of this Content does not of itself create a contractual relationship, nor any attorney/client relationship, between Baker McKenzie and any person.</w:t>
      </w:r>
      <w:r>
        <w:rPr>
          <w:b/>
        </w:rPr>
        <w:t xml:space="preserve"> Non-reliance and exclusion</w:t>
      </w:r>
      <w:r>
        <w:t xml:space="preserve">: All Content is for informational purposes only and may not reflect the most current legal and regulatory developments. All summaries of the laws, regulations and practice are subject to change. The Content is not offered as legal or professional advice for any specific matter. It is not intended to be a substitute for reference to (and compliance with) the detailed provisions of applicable laws, rules, regulations or forms. Legal advice should always be sought before taking any action or refraining from taking any action based on any Content. Baker McKenzie and the editors and the contributing authors do not guarantee the accuracy of the Content and expressly disclaim any and all liability to any person in respect of the consequences of anything done or permitted to be done or omitted to be done wholly or partly in reliance upon the whole or any part of the Content. The Content may contain links to external websites and external websites may link to the Content. Baker McKenzie is not responsible for the content or operation of any such external sites and disclaims all liability, howsoever occurring, in respect of the content or operation of any such external websites. </w:t>
      </w:r>
      <w:r>
        <w:rPr>
          <w:b/>
        </w:rPr>
        <w:t xml:space="preserve">Attorney Advertising</w:t>
      </w:r>
      <w:r>
        <w:t xml:space="preserve">: This Content may qualify as “Attorney Advertising” requiring notice in some jurisdictions. To the extent that this Content may qualify as Attorney Advertising, PRIOR RESULTS DO NOT GUARANTEE A SIMILAR OUTCOME. </w:t>
      </w:r>
      <w:r>
        <w:rPr>
          <w:b/>
        </w:rPr>
        <w:t xml:space="preserve">Reproduction</w:t>
      </w:r>
      <w:r>
        <w:t xml:space="preserve">: Reproduction or copying of the Content on this Site without express written authorization is strictly prohibited.</w:t>
      </w:r>
    </w:p>
    <w:p w:rsidR="00896739" w:rsidP="002263CD" w:rsidRDefault="00896739" w14:paraId="7AC5DB4C" w14:textId="03536B3B">
      <w:pPr>
        <w:pStyle w:val="Heading1"/>
      </w:pPr>
    </w:p>
    <w:sectPr w:rsidR="00896739" w:rsidSect="003A3B65">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440" w:right="1800" w:bottom="1440" w:left="1440" w:header="115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3D79" w:rsidP="008407E2" w:rsidRDefault="00A23D79" w14:paraId="1F41059E" w14:textId="77777777">
      <w:pPr>
        <w:spacing w:after="0" w:line="240" w:lineRule="auto"/>
      </w:pPr>
      <w:r>
        <w:separator/>
      </w:r>
    </w:p>
  </w:endnote>
  <w:endnote w:type="continuationSeparator" w:id="0">
    <w:p w:rsidR="00A23D79" w:rsidP="008407E2" w:rsidRDefault="00A23D79" w14:paraId="231B53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2A4" w:rsidRDefault="00CA02A4" w14:paraId="698A951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4865F9" w:rsidRDefault="00DD4C73" w14:paraId="1AC669BB" w14:textId="20A7D692">
    <w:pPr>
      <w:pStyle w:val="Footertext"/>
      <w:spacing w:after="120"/>
    </w:pPr>
    <w:r>
      <w:t>www.</w:t>
    </w:r>
    <w:r w:rsidR="00507F6E">
      <w:t>bakermckenzie.com</w:t>
    </w:r>
    <w:r w:rsidR="00885799">
      <w:tab/>
      <w:t xml:space="preserve">Copyright </w:t>
    </w:r>
    <w:r w:rsidR="00885799">
      <w:fldChar w:fldCharType="begin"/>
    </w:r>
    <w:r w:rsidR="00885799">
      <w:instrText xml:space="preserve"> DATE  \@ "yyyy"  \* MERGEFORMAT </w:instrText>
    </w:r>
    <w:r w:rsidR="00885799">
      <w:fldChar w:fldCharType="separate"/>
    </w:r>
    <w:r w:rsidR="00436762">
      <w:rPr>
        <w:noProof/>
      </w:rPr>
      <w:t>2021</w:t>
    </w:r>
    <w:r w:rsidR="00885799">
      <w:fldChar w:fldCharType="end"/>
    </w:r>
    <w:r w:rsidR="00885799">
      <w:tab/>
    </w:r>
    <w:r w:rsidR="00885799">
      <w:fldChar w:fldCharType="begin"/>
    </w:r>
    <w:r w:rsidR="00885799">
      <w:instrText xml:space="preserve"> PAGE  \* Arabic  \* MERGEFORMAT </w:instrText>
    </w:r>
    <w:r w:rsidR="00885799">
      <w:fldChar w:fldCharType="separate"/>
    </w:r>
    <w:r w:rsidR="00885799">
      <w:rPr>
        <w:noProof/>
      </w:rPr>
      <w:t>2</w:t>
    </w:r>
    <w:r w:rsidR="0088579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686E" w:rsidP="00D7761C" w:rsidRDefault="0078230C" w14:paraId="1DFFD4A1" w14:textId="1DAF2B70">
    <w:pPr>
      <w:pStyle w:val="Footertext"/>
      <w:spacing w:after="120"/>
    </w:pPr>
    <w:r w:rsidRPr="0078230C">
      <w:t>https://resourcehub.bakermckenzie.com/en/resources/cross-border-listings-guide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3D79" w:rsidP="008407E2" w:rsidRDefault="00A23D79" w14:paraId="103E162A" w14:textId="77777777">
      <w:pPr>
        <w:spacing w:after="0" w:line="240" w:lineRule="auto"/>
      </w:pPr>
      <w:r>
        <w:separator/>
      </w:r>
    </w:p>
  </w:footnote>
  <w:footnote w:type="continuationSeparator" w:id="0">
    <w:p w:rsidR="00A23D79" w:rsidP="008407E2" w:rsidRDefault="00A23D79" w14:paraId="4453236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A02A4" w:rsidRDefault="00CA02A4" w14:paraId="4F0F7B7C" w14:textId="77777777">
    <w:pPr>
      <w:pStyle w:val="Header"/>
    </w:pPr>
  </w:p>
</w:hdr>
</file>

<file path=word/header2.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07E2" w:rsidP="00507F6E" w:rsidRDefault="002D177D" w14:paraId="702939D2" w14:textId="77777777">
    <w:pPr>
      <w:pStyle w:val="Header"/>
      <w:spacing w:after="600"/>
    </w:pPr>
    <w:r>
      <w:rPr>
        <w:noProof/>
      </w:rPr>
      <w:drawing>
        <wp:inline distT="0" distB="0" distL="0" distR="0" wp14:anchorId="01D4742B" wp14:editId="1CA000EA">
          <wp:extent cx="1191555" cy="417044"/>
          <wp:effectExtent l="0" t="0" r="0" b="254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header3.xml><?xml version="1.0" encoding="utf-8"?>
<w:hdr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7C25" w:rsidP="00536331" w:rsidRDefault="00536331" w14:paraId="60E40330" w14:textId="61291996">
    <w:pPr>
      <w:pStyle w:val="Header"/>
      <w:spacing w:after="600"/>
    </w:pPr>
    <w:r>
      <w:rPr>
        <w:noProof/>
      </w:rPr>
      <w:drawing>
        <wp:inline distT="0" distB="0" distL="0" distR="0" wp14:anchorId="00C785F5" wp14:editId="04CB1085">
          <wp:extent cx="1191555" cy="417044"/>
          <wp:effectExtent l="0" t="0" r="0" b="254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91555" cy="4170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7CD"/>
    <w:multiLevelType w:val="hybridMultilevel"/>
    <w:tmpl w:val="2D7E9C06"/>
    <w:lvl w:ilvl="0" w:tplc="61462266">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1D82F34"/>
    <w:multiLevelType w:val="hybridMultilevel"/>
    <w:tmpl w:val="993E4862"/>
    <w:lvl w:ilvl="0" w:tplc="C51C6E72">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57B74DD"/>
    <w:multiLevelType w:val="multilevel"/>
    <w:tmpl w:val="1124EE02"/>
    <w:styleLink w:val="1ai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04C34DA"/>
    <w:multiLevelType w:val="hybridMultilevel"/>
    <w:tmpl w:val="E536E77A"/>
    <w:lvl w:ilvl="0" w:tplc="28E67952">
      <w:numFmt w:val="bullet"/>
      <w:lvlText w:val="-"/>
      <w:lvlJc w:val="left"/>
      <w:pPr>
        <w:ind w:left="410" w:hanging="360"/>
      </w:pPr>
      <w:rPr>
        <w:rFonts w:hint="default" w:ascii="Calibri" w:hAnsi="Calibri" w:cs="Calibri" w:eastAsiaTheme="minorHAnsi"/>
      </w:rPr>
    </w:lvl>
    <w:lvl w:ilvl="1" w:tplc="04090003" w:tentative="1">
      <w:start w:val="1"/>
      <w:numFmt w:val="bullet"/>
      <w:lvlText w:val="o"/>
      <w:lvlJc w:val="left"/>
      <w:pPr>
        <w:ind w:left="1130" w:hanging="360"/>
      </w:pPr>
      <w:rPr>
        <w:rFonts w:hint="default" w:ascii="Courier New" w:hAnsi="Courier New" w:cs="Courier New"/>
      </w:rPr>
    </w:lvl>
    <w:lvl w:ilvl="2" w:tplc="04090005" w:tentative="1">
      <w:start w:val="1"/>
      <w:numFmt w:val="bullet"/>
      <w:lvlText w:val=""/>
      <w:lvlJc w:val="left"/>
      <w:pPr>
        <w:ind w:left="1850" w:hanging="360"/>
      </w:pPr>
      <w:rPr>
        <w:rFonts w:hint="default" w:ascii="Wingdings" w:hAnsi="Wingdings"/>
      </w:rPr>
    </w:lvl>
    <w:lvl w:ilvl="3" w:tplc="04090001" w:tentative="1">
      <w:start w:val="1"/>
      <w:numFmt w:val="bullet"/>
      <w:lvlText w:val=""/>
      <w:lvlJc w:val="left"/>
      <w:pPr>
        <w:ind w:left="2570" w:hanging="360"/>
      </w:pPr>
      <w:rPr>
        <w:rFonts w:hint="default" w:ascii="Symbol" w:hAnsi="Symbol"/>
      </w:rPr>
    </w:lvl>
    <w:lvl w:ilvl="4" w:tplc="04090003" w:tentative="1">
      <w:start w:val="1"/>
      <w:numFmt w:val="bullet"/>
      <w:lvlText w:val="o"/>
      <w:lvlJc w:val="left"/>
      <w:pPr>
        <w:ind w:left="3290" w:hanging="360"/>
      </w:pPr>
      <w:rPr>
        <w:rFonts w:hint="default" w:ascii="Courier New" w:hAnsi="Courier New" w:cs="Courier New"/>
      </w:rPr>
    </w:lvl>
    <w:lvl w:ilvl="5" w:tplc="04090005" w:tentative="1">
      <w:start w:val="1"/>
      <w:numFmt w:val="bullet"/>
      <w:lvlText w:val=""/>
      <w:lvlJc w:val="left"/>
      <w:pPr>
        <w:ind w:left="4010" w:hanging="360"/>
      </w:pPr>
      <w:rPr>
        <w:rFonts w:hint="default" w:ascii="Wingdings" w:hAnsi="Wingdings"/>
      </w:rPr>
    </w:lvl>
    <w:lvl w:ilvl="6" w:tplc="04090001" w:tentative="1">
      <w:start w:val="1"/>
      <w:numFmt w:val="bullet"/>
      <w:lvlText w:val=""/>
      <w:lvlJc w:val="left"/>
      <w:pPr>
        <w:ind w:left="4730" w:hanging="360"/>
      </w:pPr>
      <w:rPr>
        <w:rFonts w:hint="default" w:ascii="Symbol" w:hAnsi="Symbol"/>
      </w:rPr>
    </w:lvl>
    <w:lvl w:ilvl="7" w:tplc="04090003" w:tentative="1">
      <w:start w:val="1"/>
      <w:numFmt w:val="bullet"/>
      <w:lvlText w:val="o"/>
      <w:lvlJc w:val="left"/>
      <w:pPr>
        <w:ind w:left="5450" w:hanging="360"/>
      </w:pPr>
      <w:rPr>
        <w:rFonts w:hint="default" w:ascii="Courier New" w:hAnsi="Courier New" w:cs="Courier New"/>
      </w:rPr>
    </w:lvl>
    <w:lvl w:ilvl="8" w:tplc="04090005" w:tentative="1">
      <w:start w:val="1"/>
      <w:numFmt w:val="bullet"/>
      <w:lvlText w:val=""/>
      <w:lvlJc w:val="left"/>
      <w:pPr>
        <w:ind w:left="6170" w:hanging="360"/>
      </w:pPr>
      <w:rPr>
        <w:rFonts w:hint="default" w:ascii="Wingdings" w:hAnsi="Wingdings"/>
      </w:rPr>
    </w:lvl>
  </w:abstractNum>
  <w:abstractNum w:abstractNumId="4" w15:restartNumberingAfterBreak="0">
    <w:nsid w:val="586A1FC3"/>
    <w:multiLevelType w:val="multilevel"/>
    <w:tmpl w:val="1124EE02"/>
    <w:numStyleLink w:val="1aiA"/>
  </w:abstractNum>
  <w:abstractNum w:abstractNumId="5" w15:restartNumberingAfterBreak="0">
    <w:nsid w:val="6A187578"/>
    <w:multiLevelType w:val="hybridMultilevel"/>
    <w:tmpl w:val="4BF2E3EC"/>
    <w:lvl w:ilvl="0" w:tplc="727A4570">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2880D1C"/>
    <w:multiLevelType w:val="hybridMultilevel"/>
    <w:tmpl w:val="F14EC786"/>
    <w:lvl w:ilvl="0" w:tplc="939A22CA">
      <w:numFmt w:val="bullet"/>
      <w:lvlText w:val="-"/>
      <w:lvlJc w:val="left"/>
      <w:pPr>
        <w:ind w:left="720" w:hanging="360"/>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multiLevelType w:val="singleLevel"/>
    <w:lvl w:ilvl="0">
      <w:start w:val="1"/>
      <w:numFmt w:val="decimal"/>
      <w:lvlText w:val="%1."/>
      <w:pPr>
        <w:ind w:left="420" w:hanging="360"/>
      </w:pPr>
    </w:lvl>
  </w:abstractNum>
  <w:abstractNum w:abstractNumId="9">
    <w:multiLevelType w:val="singleLevel"/>
    <w:lvl w:ilvl="0">
      <w:numFmt w:val="bullet"/>
      <w:lvlText w:val="•"/>
      <w:pPr>
        <w:ind w:left="420" w:hanging="360"/>
      </w:pPr>
    </w:lvl>
  </w:abstractNum>
  <w:abstractNum w:abstractNumId="10">
    <w:multiLevelType w:val="singleLevel"/>
    <w:lvl w:ilvl="0">
      <w:numFmt w:val="bullet"/>
      <w:lvlText w:val="▪"/>
      <w:pPr>
        <w:ind w:left="420" w:hanging="360"/>
      </w:pPr>
    </w:lvl>
  </w:abstractNum>
  <w:abstractNum w:abstractNumId="11">
    <w:multiLevelType w:val="singleLevel"/>
    <w:lvl w:ilvl="0">
      <w:numFmt w:val="bullet"/>
      <w:lvlText w:val="o"/>
      <w:pPr>
        <w:ind w:left="420" w:hanging="360"/>
      </w:pPr>
    </w:lvl>
  </w:abstractNum>
  <w:abstractNum w:abstractNumId="12">
    <w:multiLevelType w:val="singleLevel"/>
    <w:lvl w:ilvl="0">
      <w:start w:val="1"/>
      <w:numFmt w:val="upperLetter"/>
      <w:lvlText w:val="%1."/>
      <w:pPr>
        <w:ind w:left="420" w:hanging="360"/>
      </w:pPr>
    </w:lvl>
  </w:abstractNum>
  <w:abstractNum w:abstractNumId="13">
    <w:multiLevelType w:val="singleLevel"/>
    <w:lvl w:ilvl="0">
      <w:start w:val="1"/>
      <w:numFmt w:val="lowerLetter"/>
      <w:lvlText w:val="%1."/>
      <w:pPr>
        <w:ind w:left="420" w:hanging="360"/>
      </w:pPr>
    </w:lvl>
  </w:abstractNum>
  <w:abstractNum w:abstractNumId="14">
    <w:multiLevelType w:val="singleLevel"/>
    <w:lvl w:ilvl="0">
      <w:start w:val="1"/>
      <w:numFmt w:val="upperRoman"/>
      <w:lvlText w:val="%1."/>
      <w:pPr>
        <w:ind w:left="420" w:hanging="360"/>
      </w:pPr>
    </w:lvl>
  </w:abstractNum>
  <w:abstractNum w:abstractNumId="15">
    <w:multiLevelType w:val="singleLevel"/>
    <w:lvl w:ilvl="0">
      <w:start w:val="1"/>
      <w:numFmt w:val="lowerRoman"/>
      <w:lvlText w:val="%1."/>
      <w:pPr>
        <w:ind w:left="420" w:hanging="360"/>
      </w:pPr>
    </w:lvl>
  </w:abstractNum>
  <w:abstractNum w:abstractNumId="7" w15:restartNumberingAfterBreak="0">
    <w:nsid w:val="74437C54"/>
    <w:multiLevelType w:val="hybridMultilevel"/>
    <w:tmpl w:val="51ACB4C8"/>
    <w:lvl w:ilvl="0" w:tplc="CEB45F4C">
      <w:numFmt w:val="bullet"/>
      <w:lvlText w:val="-"/>
      <w:lvlJc w:val="left"/>
      <w:pPr>
        <w:ind w:left="1512" w:hanging="360"/>
      </w:pPr>
      <w:rPr>
        <w:rFonts w:hint="default" w:ascii="Arial" w:hAnsi="Arial" w:cs="Arial" w:eastAsiaTheme="minorHAnsi"/>
      </w:rPr>
    </w:lvl>
    <w:lvl w:ilvl="1" w:tplc="04090003" w:tentative="1">
      <w:start w:val="1"/>
      <w:numFmt w:val="bullet"/>
      <w:lvlText w:val="o"/>
      <w:lvlJc w:val="left"/>
      <w:pPr>
        <w:ind w:left="2232" w:hanging="360"/>
      </w:pPr>
      <w:rPr>
        <w:rFonts w:hint="default" w:ascii="Courier New" w:hAnsi="Courier New" w:cs="Courier New"/>
      </w:rPr>
    </w:lvl>
    <w:lvl w:ilvl="2" w:tplc="04090005" w:tentative="1">
      <w:start w:val="1"/>
      <w:numFmt w:val="bullet"/>
      <w:lvlText w:val=""/>
      <w:lvlJc w:val="left"/>
      <w:pPr>
        <w:ind w:left="2952" w:hanging="360"/>
      </w:pPr>
      <w:rPr>
        <w:rFonts w:hint="default" w:ascii="Wingdings" w:hAnsi="Wingdings"/>
      </w:rPr>
    </w:lvl>
    <w:lvl w:ilvl="3" w:tplc="04090001" w:tentative="1">
      <w:start w:val="1"/>
      <w:numFmt w:val="bullet"/>
      <w:lvlText w:val=""/>
      <w:lvlJc w:val="left"/>
      <w:pPr>
        <w:ind w:left="3672" w:hanging="360"/>
      </w:pPr>
      <w:rPr>
        <w:rFonts w:hint="default" w:ascii="Symbol" w:hAnsi="Symbol"/>
      </w:rPr>
    </w:lvl>
    <w:lvl w:ilvl="4" w:tplc="04090003" w:tentative="1">
      <w:start w:val="1"/>
      <w:numFmt w:val="bullet"/>
      <w:lvlText w:val="o"/>
      <w:lvlJc w:val="left"/>
      <w:pPr>
        <w:ind w:left="4392" w:hanging="360"/>
      </w:pPr>
      <w:rPr>
        <w:rFonts w:hint="default" w:ascii="Courier New" w:hAnsi="Courier New" w:cs="Courier New"/>
      </w:rPr>
    </w:lvl>
    <w:lvl w:ilvl="5" w:tplc="04090005" w:tentative="1">
      <w:start w:val="1"/>
      <w:numFmt w:val="bullet"/>
      <w:lvlText w:val=""/>
      <w:lvlJc w:val="left"/>
      <w:pPr>
        <w:ind w:left="5112" w:hanging="360"/>
      </w:pPr>
      <w:rPr>
        <w:rFonts w:hint="default" w:ascii="Wingdings" w:hAnsi="Wingdings"/>
      </w:rPr>
    </w:lvl>
    <w:lvl w:ilvl="6" w:tplc="04090001" w:tentative="1">
      <w:start w:val="1"/>
      <w:numFmt w:val="bullet"/>
      <w:lvlText w:val=""/>
      <w:lvlJc w:val="left"/>
      <w:pPr>
        <w:ind w:left="5832" w:hanging="360"/>
      </w:pPr>
      <w:rPr>
        <w:rFonts w:hint="default" w:ascii="Symbol" w:hAnsi="Symbol"/>
      </w:rPr>
    </w:lvl>
    <w:lvl w:ilvl="7" w:tplc="04090003" w:tentative="1">
      <w:start w:val="1"/>
      <w:numFmt w:val="bullet"/>
      <w:lvlText w:val="o"/>
      <w:lvlJc w:val="left"/>
      <w:pPr>
        <w:ind w:left="6552" w:hanging="360"/>
      </w:pPr>
      <w:rPr>
        <w:rFonts w:hint="default" w:ascii="Courier New" w:hAnsi="Courier New" w:cs="Courier New"/>
      </w:rPr>
    </w:lvl>
    <w:lvl w:ilvl="8" w:tplc="04090005" w:tentative="1">
      <w:start w:val="1"/>
      <w:numFmt w:val="bullet"/>
      <w:lvlText w:val=""/>
      <w:lvlJc w:val="left"/>
      <w:pPr>
        <w:ind w:left="7272" w:hanging="360"/>
      </w:pPr>
      <w:rPr>
        <w:rFonts w:hint="default" w:ascii="Wingdings" w:hAnsi="Wingdings"/>
      </w:rPr>
    </w:lvl>
  </w:abstractNum>
  <w:num w:numId="1">
    <w:abstractNumId w:val="5"/>
  </w:num>
  <w:num w:numId="2">
    <w:abstractNumId w:val="6"/>
  </w:num>
  <w:num w:numId="3">
    <w:abstractNumId w:val="0"/>
  </w:num>
  <w:num w:numId="4">
    <w:abstractNumId w:val="1"/>
  </w:num>
  <w:num w:numId="5">
    <w:abstractNumId w:val="7"/>
  </w:num>
  <w:num w:numId="6">
    <w:abstractNumId w:val="3"/>
  </w:num>
  <w:num w:numId="7">
    <w:abstractNumId w:val="2"/>
  </w:num>
  <w:num w:numId="8">
    <w:abstractNumId w:val="4"/>
  </w:num>
  <w:num w:numId="9">
    <w:abstractNumId w:val="9"/>
    <w:lvlOverride w:ilvl="0">
      <w:startOverride w:val="1"/>
    </w:lvlOverride>
  </w:num>
  <w:num w:numId="10">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73"/>
    <w:rsid w:val="0000461D"/>
    <w:rsid w:val="00035AF7"/>
    <w:rsid w:val="00051AB4"/>
    <w:rsid w:val="000634B9"/>
    <w:rsid w:val="00077F75"/>
    <w:rsid w:val="000847CF"/>
    <w:rsid w:val="00093245"/>
    <w:rsid w:val="00111847"/>
    <w:rsid w:val="0013686E"/>
    <w:rsid w:val="001620A7"/>
    <w:rsid w:val="00163294"/>
    <w:rsid w:val="001802A0"/>
    <w:rsid w:val="00197456"/>
    <w:rsid w:val="00197B2F"/>
    <w:rsid w:val="001D68FE"/>
    <w:rsid w:val="002129FB"/>
    <w:rsid w:val="002263CD"/>
    <w:rsid w:val="00237F85"/>
    <w:rsid w:val="0026481B"/>
    <w:rsid w:val="002A08A4"/>
    <w:rsid w:val="002A465B"/>
    <w:rsid w:val="002A61B4"/>
    <w:rsid w:val="002C4763"/>
    <w:rsid w:val="002D177D"/>
    <w:rsid w:val="003077B1"/>
    <w:rsid w:val="00325C08"/>
    <w:rsid w:val="003749B6"/>
    <w:rsid w:val="003A3B65"/>
    <w:rsid w:val="003C7724"/>
    <w:rsid w:val="003F41D1"/>
    <w:rsid w:val="0040598F"/>
    <w:rsid w:val="00421ABE"/>
    <w:rsid w:val="00422274"/>
    <w:rsid w:val="00436762"/>
    <w:rsid w:val="00471952"/>
    <w:rsid w:val="00480329"/>
    <w:rsid w:val="00485DE4"/>
    <w:rsid w:val="004865F9"/>
    <w:rsid w:val="00487A90"/>
    <w:rsid w:val="00490F49"/>
    <w:rsid w:val="004A2283"/>
    <w:rsid w:val="004C40D5"/>
    <w:rsid w:val="004E2B13"/>
    <w:rsid w:val="004E66D4"/>
    <w:rsid w:val="004F720E"/>
    <w:rsid w:val="00507F6E"/>
    <w:rsid w:val="00530D9D"/>
    <w:rsid w:val="00534104"/>
    <w:rsid w:val="00536331"/>
    <w:rsid w:val="00537959"/>
    <w:rsid w:val="005633FE"/>
    <w:rsid w:val="005A12EF"/>
    <w:rsid w:val="005A567C"/>
    <w:rsid w:val="005C3286"/>
    <w:rsid w:val="005F1098"/>
    <w:rsid w:val="00626D89"/>
    <w:rsid w:val="0066374E"/>
    <w:rsid w:val="00682D60"/>
    <w:rsid w:val="006906AD"/>
    <w:rsid w:val="006C4214"/>
    <w:rsid w:val="006E4DBD"/>
    <w:rsid w:val="006F4E12"/>
    <w:rsid w:val="00704DE8"/>
    <w:rsid w:val="00704FB4"/>
    <w:rsid w:val="007137C3"/>
    <w:rsid w:val="007336B4"/>
    <w:rsid w:val="007336B6"/>
    <w:rsid w:val="00743378"/>
    <w:rsid w:val="00752F90"/>
    <w:rsid w:val="007541FC"/>
    <w:rsid w:val="00761F2A"/>
    <w:rsid w:val="0078230C"/>
    <w:rsid w:val="00783B41"/>
    <w:rsid w:val="007850F8"/>
    <w:rsid w:val="007B5478"/>
    <w:rsid w:val="007B5830"/>
    <w:rsid w:val="007F060E"/>
    <w:rsid w:val="007F2CCC"/>
    <w:rsid w:val="007F4D68"/>
    <w:rsid w:val="008020A8"/>
    <w:rsid w:val="008407E2"/>
    <w:rsid w:val="0084373B"/>
    <w:rsid w:val="00877F60"/>
    <w:rsid w:val="00885799"/>
    <w:rsid w:val="00896739"/>
    <w:rsid w:val="008B4BE2"/>
    <w:rsid w:val="008D564B"/>
    <w:rsid w:val="008E0D40"/>
    <w:rsid w:val="00917153"/>
    <w:rsid w:val="00994FC4"/>
    <w:rsid w:val="009A156E"/>
    <w:rsid w:val="009B3264"/>
    <w:rsid w:val="009B5183"/>
    <w:rsid w:val="009D1541"/>
    <w:rsid w:val="009E1C51"/>
    <w:rsid w:val="009E2793"/>
    <w:rsid w:val="00A14B44"/>
    <w:rsid w:val="00A17914"/>
    <w:rsid w:val="00A23D79"/>
    <w:rsid w:val="00A30BAA"/>
    <w:rsid w:val="00A3173A"/>
    <w:rsid w:val="00A61E56"/>
    <w:rsid w:val="00A768A2"/>
    <w:rsid w:val="00A81A16"/>
    <w:rsid w:val="00A8520E"/>
    <w:rsid w:val="00A966E5"/>
    <w:rsid w:val="00AC1559"/>
    <w:rsid w:val="00AE3548"/>
    <w:rsid w:val="00B22D3D"/>
    <w:rsid w:val="00BC7873"/>
    <w:rsid w:val="00BD03CF"/>
    <w:rsid w:val="00C303AC"/>
    <w:rsid w:val="00C40D8B"/>
    <w:rsid w:val="00C51232"/>
    <w:rsid w:val="00C520B8"/>
    <w:rsid w:val="00C65A85"/>
    <w:rsid w:val="00CA02A4"/>
    <w:rsid w:val="00CB188F"/>
    <w:rsid w:val="00CB44F3"/>
    <w:rsid w:val="00CD1FAF"/>
    <w:rsid w:val="00CF1C7D"/>
    <w:rsid w:val="00D354EF"/>
    <w:rsid w:val="00D41754"/>
    <w:rsid w:val="00D7761C"/>
    <w:rsid w:val="00D85736"/>
    <w:rsid w:val="00D904AA"/>
    <w:rsid w:val="00D9752D"/>
    <w:rsid w:val="00DB71E7"/>
    <w:rsid w:val="00DC1C34"/>
    <w:rsid w:val="00DC68EE"/>
    <w:rsid w:val="00DD4C73"/>
    <w:rsid w:val="00E57C25"/>
    <w:rsid w:val="00E8516D"/>
    <w:rsid w:val="00E925A7"/>
    <w:rsid w:val="00EA76A7"/>
    <w:rsid w:val="00EB4E6C"/>
    <w:rsid w:val="00F33E8A"/>
    <w:rsid w:val="00F54A18"/>
    <w:rsid w:val="00FC6796"/>
    <w:rsid w:val="00FD3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F7020"/>
  <w15:chartTrackingRefBased/>
  <w15:docId w15:val="{11264F3B-CA44-0D43-9F09-917800D1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nhideWhenUsed/>
    <w:qFormat/>
    <w:rsid w:val="009E1C51"/>
    <w:pPr>
      <w:spacing w:after="240" w:line="276" w:lineRule="auto"/>
    </w:pPr>
    <w:rPr>
      <w:rFonts w:ascii="Arial" w:hAnsi="Arial"/>
      <w:sz w:val="20"/>
    </w:rPr>
  </w:style>
  <w:style w:type="paragraph" w:styleId="Heading1">
    <w:name w:val="heading 1"/>
    <w:basedOn w:val="Normal"/>
    <w:next w:val="Normal"/>
    <w:link w:val="Heading1Char"/>
    <w:uiPriority w:val="9"/>
    <w:unhideWhenUsed/>
    <w:qFormat/>
    <w:rsid w:val="00197456"/>
    <w:pPr>
      <w:keepNext/>
      <w:keepLines/>
      <w:spacing w:before="240" w:line="240" w:lineRule="auto"/>
      <w:outlineLvl w:val="0"/>
    </w:pPr>
    <w:rPr>
      <w:rFonts w:cs="Arial" w:eastAsiaTheme="majorEastAsia"/>
      <w:b/>
      <w:color w:val="AE132A"/>
      <w:sz w:val="32"/>
      <w:szCs w:val="32"/>
    </w:rPr>
  </w:style>
  <w:style w:type="paragraph" w:styleId="Heading2">
    <w:name w:val="heading 2"/>
    <w:basedOn w:val="Normal"/>
    <w:next w:val="Normal"/>
    <w:link w:val="Heading2Char"/>
    <w:uiPriority w:val="9"/>
    <w:unhideWhenUsed/>
    <w:qFormat/>
    <w:rsid w:val="00197456"/>
    <w:pPr>
      <w:keepNext/>
      <w:keepLines/>
      <w:spacing w:before="240" w:after="320" w:line="240" w:lineRule="auto"/>
      <w:outlineLvl w:val="1"/>
    </w:pPr>
    <w:rPr>
      <w:rFonts w:cs="Arial" w:eastAsiaTheme="majorEastAsia"/>
      <w:color w:val="000000" w:themeColor="text1"/>
      <w:sz w:val="32"/>
      <w:szCs w:val="32"/>
    </w:rPr>
  </w:style>
  <w:style w:type="paragraph" w:styleId="Heading3">
    <w:name w:val="heading 3"/>
    <w:basedOn w:val="Heading2"/>
    <w:next w:val="Normal"/>
    <w:link w:val="Heading3Char"/>
    <w:uiPriority w:val="9"/>
    <w:unhideWhenUsed/>
    <w:qFormat/>
    <w:rsid w:val="00197456"/>
    <w:pPr>
      <w:outlineLvl w:val="2"/>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PlaceholderText">
    <w:name w:val="Placeholder Text"/>
    <w:basedOn w:val="DefaultParagraphFont"/>
    <w:uiPriority w:val="99"/>
    <w:unhideWhenUsed/>
    <w:rsid w:val="00EB4E6C"/>
    <w:rPr>
      <w:color w:val="808080"/>
    </w:rPr>
  </w:style>
  <w:style w:type="paragraph" w:styleId="IndentedCopy" w:customStyle="1">
    <w:name w:val="Indented Copy"/>
    <w:qFormat/>
    <w:rsid w:val="009B5183"/>
    <w:pPr>
      <w:spacing w:before="140" w:after="140" w:line="360" w:lineRule="auto"/>
      <w:ind w:left="1008"/>
    </w:pPr>
    <w:rPr>
      <w:rFonts w:ascii="Arial" w:hAnsi="Arial" w:cs="Arial"/>
      <w:sz w:val="20"/>
      <w:szCs w:val="20"/>
    </w:rPr>
  </w:style>
  <w:style w:type="paragraph" w:styleId="Header">
    <w:name w:val="header"/>
    <w:basedOn w:val="Normal"/>
    <w:link w:val="HeaderChar"/>
    <w:uiPriority w:val="99"/>
    <w:unhideWhenUsed/>
    <w:rsid w:val="008407E2"/>
    <w:pPr>
      <w:tabs>
        <w:tab w:val="center" w:pos="4680"/>
        <w:tab w:val="right" w:pos="9360"/>
      </w:tabs>
      <w:spacing w:after="0" w:line="240" w:lineRule="auto"/>
    </w:pPr>
  </w:style>
  <w:style w:type="character" w:styleId="HeaderChar" w:customStyle="1">
    <w:name w:val="Header Char"/>
    <w:basedOn w:val="DefaultParagraphFont"/>
    <w:link w:val="Header"/>
    <w:uiPriority w:val="99"/>
    <w:rsid w:val="009E1C51"/>
    <w:rPr>
      <w:rFonts w:ascii="Arial" w:hAnsi="Arial"/>
      <w:sz w:val="20"/>
    </w:rPr>
  </w:style>
  <w:style w:type="paragraph" w:styleId="Footer">
    <w:name w:val="footer"/>
    <w:basedOn w:val="Normal"/>
    <w:link w:val="FooterChar"/>
    <w:uiPriority w:val="99"/>
    <w:unhideWhenUsed/>
    <w:rsid w:val="008407E2"/>
    <w:pPr>
      <w:tabs>
        <w:tab w:val="center" w:pos="4680"/>
        <w:tab w:val="right" w:pos="9360"/>
      </w:tabs>
      <w:spacing w:after="0" w:line="240" w:lineRule="auto"/>
    </w:pPr>
  </w:style>
  <w:style w:type="character" w:styleId="FooterChar" w:customStyle="1">
    <w:name w:val="Footer Char"/>
    <w:basedOn w:val="DefaultParagraphFont"/>
    <w:link w:val="Footer"/>
    <w:uiPriority w:val="99"/>
    <w:rsid w:val="009E1C51"/>
    <w:rPr>
      <w:rFonts w:ascii="Arial" w:hAnsi="Arial"/>
      <w:sz w:val="20"/>
    </w:rPr>
  </w:style>
  <w:style w:type="paragraph" w:styleId="Region" w:customStyle="1">
    <w:name w:val="Region"/>
    <w:next w:val="IndentedCopy"/>
    <w:qFormat/>
    <w:rsid w:val="00994FC4"/>
    <w:pPr>
      <w:spacing w:before="360" w:after="0"/>
      <w:ind w:left="1008"/>
    </w:pPr>
    <w:rPr>
      <w:rFonts w:ascii="Arial" w:hAnsi="Arial" w:cs="Arial"/>
      <w:b/>
      <w:color w:val="AD122A"/>
      <w:sz w:val="28"/>
      <w:szCs w:val="28"/>
    </w:rPr>
  </w:style>
  <w:style w:type="table" w:styleId="TableGrid">
    <w:name w:val="Table Grid"/>
    <w:basedOn w:val="TableNormal"/>
    <w:uiPriority w:val="39"/>
    <w:rsid w:val="006C421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unhideWhenUsed/>
    <w:qFormat/>
    <w:rsid w:val="006C4214"/>
    <w:pPr>
      <w:spacing w:after="0" w:line="240" w:lineRule="auto"/>
    </w:pPr>
  </w:style>
  <w:style w:type="paragraph" w:styleId="Table" w:customStyle="1">
    <w:name w:val="Table"/>
    <w:qFormat/>
    <w:rsid w:val="0066374E"/>
    <w:rPr>
      <w:rFonts w:ascii="Arial" w:hAnsi="Arial" w:cs="Arial"/>
      <w:sz w:val="20"/>
      <w:szCs w:val="20"/>
    </w:rPr>
  </w:style>
  <w:style w:type="paragraph" w:styleId="ListParagraph">
    <w:name w:val="List Paragraph"/>
    <w:basedOn w:val="Normal"/>
    <w:uiPriority w:val="34"/>
    <w:unhideWhenUsed/>
    <w:qFormat/>
    <w:rsid w:val="007137C3"/>
    <w:pPr>
      <w:spacing w:line="360" w:lineRule="auto"/>
      <w:ind w:left="720"/>
      <w:contextualSpacing/>
    </w:pPr>
  </w:style>
  <w:style w:type="paragraph" w:styleId="Body" w:customStyle="1">
    <w:name w:val="Body"/>
    <w:qFormat/>
    <w:rsid w:val="00A14B44"/>
    <w:pPr>
      <w:spacing w:before="60" w:after="0"/>
    </w:pPr>
    <w:rPr>
      <w:rFonts w:ascii="Arial" w:hAnsi="Arial" w:cs="Arial"/>
      <w:sz w:val="20"/>
      <w:szCs w:val="20"/>
    </w:rPr>
  </w:style>
  <w:style w:type="paragraph" w:styleId="CoverDate" w:customStyle="1">
    <w:name w:val="CoverDate"/>
    <w:qFormat/>
    <w:rsid w:val="00A14B44"/>
    <w:pPr>
      <w:spacing w:before="240" w:after="0"/>
    </w:pPr>
    <w:rPr>
      <w:rFonts w:ascii="Arial" w:hAnsi="Arial" w:cs="Arial"/>
      <w:sz w:val="24"/>
      <w:szCs w:val="24"/>
    </w:rPr>
  </w:style>
  <w:style w:type="paragraph" w:styleId="Footertext" w:customStyle="1">
    <w:name w:val="Footer text"/>
    <w:basedOn w:val="Normal"/>
    <w:qFormat/>
    <w:rsid w:val="00DC68EE"/>
    <w:pPr>
      <w:tabs>
        <w:tab w:val="center" w:pos="4680"/>
        <w:tab w:val="right" w:pos="9360"/>
      </w:tabs>
      <w:spacing w:after="0" w:line="240" w:lineRule="auto"/>
    </w:pPr>
    <w:rPr>
      <w:rFonts w:cs="Arial"/>
      <w:bCs/>
      <w:color w:val="AE132A"/>
      <w:sz w:val="16"/>
      <w:szCs w:val="16"/>
    </w:rPr>
  </w:style>
  <w:style w:type="paragraph" w:styleId="TOCHeading">
    <w:name w:val="TOC Heading"/>
    <w:next w:val="Normal"/>
    <w:uiPriority w:val="39"/>
    <w:unhideWhenUsed/>
    <w:qFormat/>
    <w:rsid w:val="00197456"/>
    <w:rPr>
      <w:rFonts w:ascii="Arial" w:hAnsi="Arial" w:eastAsiaTheme="majorEastAsia" w:cstheme="majorBidi"/>
      <w:b/>
      <w:color w:val="AE132A"/>
      <w:sz w:val="32"/>
      <w:szCs w:val="32"/>
    </w:rPr>
  </w:style>
  <w:style w:type="character" w:styleId="Heading1Char" w:customStyle="1">
    <w:name w:val="Heading 1 Char"/>
    <w:basedOn w:val="DefaultParagraphFont"/>
    <w:link w:val="Heading1"/>
    <w:uiPriority w:val="9"/>
    <w:rsid w:val="009E1C51"/>
    <w:rPr>
      <w:rFonts w:ascii="Arial" w:hAnsi="Arial" w:cs="Arial" w:eastAsiaTheme="majorEastAsia"/>
      <w:b/>
      <w:color w:val="AE132A"/>
      <w:sz w:val="32"/>
      <w:szCs w:val="32"/>
    </w:rPr>
  </w:style>
  <w:style w:type="paragraph" w:styleId="TOC1">
    <w:name w:val="toc 1"/>
    <w:basedOn w:val="Normal"/>
    <w:next w:val="Normal"/>
    <w:autoRedefine/>
    <w:uiPriority w:val="39"/>
    <w:unhideWhenUsed/>
    <w:rsid w:val="00197456"/>
    <w:pPr>
      <w:spacing w:after="100"/>
    </w:pPr>
    <w:rPr>
      <w:sz w:val="16"/>
    </w:rPr>
  </w:style>
  <w:style w:type="character" w:styleId="Hyperlink">
    <w:name w:val="Hyperlink"/>
    <w:basedOn w:val="DefaultParagraphFont"/>
    <w:uiPriority w:val="99"/>
    <w:unhideWhenUsed/>
    <w:rsid w:val="008020A8"/>
    <w:rPr>
      <w:color w:val="EE3135" w:themeColor="hyperlink"/>
      <w:u w:val="single"/>
    </w:rPr>
  </w:style>
  <w:style w:type="paragraph" w:styleId="Content" w:customStyle="1">
    <w:name w:val="Content"/>
    <w:link w:val="ContentChar"/>
    <w:qFormat/>
    <w:rsid w:val="003A3B65"/>
    <w:pPr>
      <w:tabs>
        <w:tab w:val="right" w:pos="9350"/>
      </w:tabs>
    </w:pPr>
    <w:rPr>
      <w:rFonts w:ascii="Arial" w:hAnsi="Arial"/>
      <w:sz w:val="20"/>
    </w:rPr>
  </w:style>
  <w:style w:type="character" w:styleId="ContentChar" w:customStyle="1">
    <w:name w:val="Content Char"/>
    <w:basedOn w:val="DefaultParagraphFont"/>
    <w:link w:val="Content"/>
    <w:rsid w:val="003A3B65"/>
    <w:rPr>
      <w:rFonts w:ascii="Arial" w:hAnsi="Arial"/>
      <w:sz w:val="20"/>
    </w:rPr>
  </w:style>
  <w:style w:type="character" w:styleId="Strong">
    <w:name w:val="Strong"/>
    <w:basedOn w:val="DefaultParagraphFont"/>
    <w:uiPriority w:val="22"/>
    <w:unhideWhenUsed/>
    <w:qFormat/>
    <w:rsid w:val="00051AB4"/>
    <w:rPr>
      <w:b/>
      <w:bCs/>
    </w:rPr>
  </w:style>
  <w:style w:type="paragraph" w:styleId="BodyText">
    <w:name w:val="Body Text"/>
    <w:basedOn w:val="Normal"/>
    <w:link w:val="BodyTextChar"/>
    <w:uiPriority w:val="99"/>
    <w:unhideWhenUsed/>
    <w:rsid w:val="00197456"/>
    <w:pPr>
      <w:spacing w:line="360" w:lineRule="auto"/>
    </w:pPr>
  </w:style>
  <w:style w:type="character" w:styleId="BodyTextChar" w:customStyle="1">
    <w:name w:val="Body Text Char"/>
    <w:basedOn w:val="DefaultParagraphFont"/>
    <w:link w:val="BodyText"/>
    <w:uiPriority w:val="99"/>
    <w:rsid w:val="009E1C51"/>
    <w:rPr>
      <w:rFonts w:ascii="Arial" w:hAnsi="Arial"/>
      <w:sz w:val="20"/>
    </w:rPr>
  </w:style>
  <w:style w:type="character" w:styleId="Heading2Char" w:customStyle="1">
    <w:name w:val="Heading 2 Char"/>
    <w:basedOn w:val="DefaultParagraphFont"/>
    <w:link w:val="Heading2"/>
    <w:uiPriority w:val="9"/>
    <w:rsid w:val="009E1C51"/>
    <w:rPr>
      <w:rFonts w:ascii="Arial" w:hAnsi="Arial" w:cs="Arial" w:eastAsiaTheme="majorEastAsia"/>
      <w:color w:val="000000" w:themeColor="text1"/>
      <w:sz w:val="32"/>
      <w:szCs w:val="32"/>
    </w:rPr>
  </w:style>
  <w:style w:type="character" w:styleId="Heading3Char" w:customStyle="1">
    <w:name w:val="Heading 3 Char"/>
    <w:basedOn w:val="DefaultParagraphFont"/>
    <w:link w:val="Heading3"/>
    <w:uiPriority w:val="9"/>
    <w:rsid w:val="009E1C51"/>
    <w:rPr>
      <w:rFonts w:ascii="Arial" w:hAnsi="Arial" w:cs="Arial" w:eastAsiaTheme="majorEastAsia"/>
      <w:color w:val="000000" w:themeColor="text1"/>
      <w:sz w:val="24"/>
      <w:szCs w:val="24"/>
    </w:rPr>
  </w:style>
  <w:style w:type="paragraph" w:styleId="Subtitle">
    <w:name w:val="Subtitle"/>
    <w:basedOn w:val="Normal"/>
    <w:next w:val="Normal"/>
    <w:link w:val="SubtitleChar"/>
    <w:uiPriority w:val="11"/>
    <w:unhideWhenUsed/>
    <w:qFormat/>
    <w:rsid w:val="00197456"/>
    <w:pPr>
      <w:numPr>
        <w:ilvl w:val="1"/>
      </w:numPr>
      <w:spacing w:before="2400" w:after="480"/>
    </w:pPr>
    <w:rPr>
      <w:rFonts w:eastAsiaTheme="minorEastAsia"/>
      <w:color w:val="000000" w:themeColor="text1"/>
      <w:sz w:val="44"/>
    </w:rPr>
  </w:style>
  <w:style w:type="character" w:styleId="SubtitleChar" w:customStyle="1">
    <w:name w:val="Subtitle Char"/>
    <w:basedOn w:val="DefaultParagraphFont"/>
    <w:link w:val="Subtitle"/>
    <w:uiPriority w:val="11"/>
    <w:rsid w:val="009E1C51"/>
    <w:rPr>
      <w:rFonts w:ascii="Arial" w:hAnsi="Arial" w:eastAsiaTheme="minorEastAsia"/>
      <w:color w:val="000000" w:themeColor="text1"/>
      <w:sz w:val="44"/>
    </w:rPr>
  </w:style>
  <w:style w:type="paragraph" w:styleId="Title">
    <w:name w:val="Title"/>
    <w:basedOn w:val="Normal"/>
    <w:next w:val="Normal"/>
    <w:link w:val="TitleChar"/>
    <w:autoRedefine/>
    <w:uiPriority w:val="10"/>
    <w:unhideWhenUsed/>
    <w:qFormat/>
    <w:rsid w:val="00197456"/>
    <w:pPr>
      <w:spacing w:before="840" w:after="0" w:line="240" w:lineRule="auto"/>
      <w:contextualSpacing/>
    </w:pPr>
    <w:rPr>
      <w:rFonts w:ascii="Arial Bold" w:hAnsi="Arial Bold" w:eastAsiaTheme="majorEastAsia" w:cstheme="majorBidi"/>
      <w:b/>
      <w:kern w:val="28"/>
      <w:sz w:val="44"/>
      <w:szCs w:val="56"/>
    </w:rPr>
  </w:style>
  <w:style w:type="character" w:styleId="TitleChar" w:customStyle="1">
    <w:name w:val="Title Char"/>
    <w:basedOn w:val="DefaultParagraphFont"/>
    <w:link w:val="Title"/>
    <w:uiPriority w:val="10"/>
    <w:rsid w:val="009E1C51"/>
    <w:rPr>
      <w:rFonts w:ascii="Arial Bold" w:hAnsi="Arial Bold" w:eastAsiaTheme="majorEastAsia" w:cstheme="majorBidi"/>
      <w:b/>
      <w:kern w:val="28"/>
      <w:sz w:val="44"/>
      <w:szCs w:val="56"/>
    </w:rPr>
  </w:style>
  <w:style w:type="paragraph" w:styleId="Disclaimer" w:customStyle="1">
    <w:name w:val="Disclaimer"/>
    <w:basedOn w:val="BodyText"/>
    <w:qFormat/>
    <w:rsid w:val="00DC68EE"/>
    <w:rPr>
      <w:sz w:val="16"/>
    </w:rPr>
  </w:style>
  <w:style w:type="paragraph" w:styleId="TOC2">
    <w:name w:val="toc 2"/>
    <w:basedOn w:val="Normal"/>
    <w:next w:val="Normal"/>
    <w:autoRedefine/>
    <w:uiPriority w:val="39"/>
    <w:semiHidden/>
    <w:unhideWhenUsed/>
    <w:rsid w:val="002263CD"/>
    <w:pPr>
      <w:spacing w:after="100"/>
      <w:ind w:left="200"/>
    </w:pPr>
    <w:rPr>
      <w:sz w:val="16"/>
    </w:rPr>
  </w:style>
  <w:style w:type="paragraph" w:styleId="TOC3">
    <w:name w:val="toc 3"/>
    <w:basedOn w:val="Normal"/>
    <w:next w:val="Normal"/>
    <w:autoRedefine/>
    <w:uiPriority w:val="39"/>
    <w:semiHidden/>
    <w:unhideWhenUsed/>
    <w:rsid w:val="002263CD"/>
    <w:pPr>
      <w:spacing w:after="100"/>
      <w:ind w:left="400"/>
    </w:pPr>
    <w:rPr>
      <w:sz w:val="16"/>
    </w:rPr>
  </w:style>
  <w:style w:type="paragraph" w:styleId="TOC4">
    <w:name w:val="toc 4"/>
    <w:basedOn w:val="Normal"/>
    <w:next w:val="Normal"/>
    <w:autoRedefine/>
    <w:uiPriority w:val="39"/>
    <w:semiHidden/>
    <w:unhideWhenUsed/>
    <w:rsid w:val="002263CD"/>
    <w:pPr>
      <w:spacing w:after="100"/>
      <w:ind w:left="600"/>
    </w:pPr>
    <w:rPr>
      <w:sz w:val="16"/>
    </w:rPr>
  </w:style>
  <w:style w:type="paragraph" w:styleId="TOC5">
    <w:name w:val="toc 5"/>
    <w:basedOn w:val="Normal"/>
    <w:next w:val="Normal"/>
    <w:autoRedefine/>
    <w:uiPriority w:val="39"/>
    <w:semiHidden/>
    <w:unhideWhenUsed/>
    <w:rsid w:val="002263CD"/>
    <w:pPr>
      <w:spacing w:after="100"/>
      <w:ind w:left="800"/>
    </w:pPr>
    <w:rPr>
      <w:sz w:val="16"/>
    </w:rPr>
  </w:style>
  <w:style w:type="paragraph" w:styleId="TOC6">
    <w:name w:val="toc 6"/>
    <w:basedOn w:val="Normal"/>
    <w:next w:val="Normal"/>
    <w:autoRedefine/>
    <w:uiPriority w:val="39"/>
    <w:semiHidden/>
    <w:unhideWhenUsed/>
    <w:rsid w:val="002263CD"/>
    <w:pPr>
      <w:spacing w:after="100"/>
      <w:ind w:left="1000"/>
    </w:pPr>
    <w:rPr>
      <w:sz w:val="16"/>
    </w:rPr>
  </w:style>
  <w:style w:type="numbering" w:styleId="1aiA" w:customStyle="1">
    <w:name w:val="1. / (a) / (i) / (A)"/>
    <w:uiPriority w:val="99"/>
    <w:rsid w:val="0026481B"/>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0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18B4A5F-AA5F-476D-882A-0A7EA0CE4B65}"/>
      </w:docPartPr>
      <w:docPartBody>
        <w:p w:rsidR="002F7E8F" w:rsidRDefault="00221808">
          <w:r w:rsidRPr="0077679D">
            <w:rPr>
              <w:rStyle w:val="PlaceholderText"/>
            </w:rPr>
            <w:t>Click or tap here to enter text.</w:t>
          </w:r>
        </w:p>
      </w:docPartBody>
    </w:docPart>
    <w:docPart>
      <w:docPartPr>
        <w:name w:val="25284D22F9AB432599632FCA53B16370"/>
        <w:category>
          <w:name w:val="General"/>
          <w:gallery w:val="placeholder"/>
        </w:category>
        <w:types>
          <w:type w:val="bbPlcHdr"/>
        </w:types>
        <w:behaviors>
          <w:behavior w:val="content"/>
        </w:behaviors>
        <w:guid w:val="{C9E8BB5A-CA8C-46C5-A13B-51B4E2032566}"/>
      </w:docPartPr>
      <w:docPartBody>
        <w:p w:rsidR="00B605E7" w:rsidRDefault="00814859" w:rsidP="00814859">
          <w:pPr>
            <w:pStyle w:val="25284D22F9AB432599632FCA53B16370"/>
          </w:pPr>
          <w:r w:rsidRPr="0077679D">
            <w:rPr>
              <w:rStyle w:val="PlaceholderText"/>
            </w:rPr>
            <w:t>Click or tap here to enter text.</w:t>
          </w:r>
        </w:p>
      </w:docPartBody>
    </w:docPart>
    <w:docPart>
      <w:docPartPr>
        <w:name w:val="50B9E9BC9CD645C4AEC5AAC81F840459"/>
        <w:category>
          <w:name w:val="General"/>
          <w:gallery w:val="placeholder"/>
        </w:category>
        <w:types>
          <w:type w:val="bbPlcHdr"/>
        </w:types>
        <w:behaviors>
          <w:behavior w:val="content"/>
        </w:behaviors>
        <w:guid w:val="{E25FB514-17A5-4B7F-9171-E7A7D6318915}"/>
      </w:docPartPr>
      <w:docPartBody>
        <w:p w:rsidR="00B605E7" w:rsidRDefault="00814859" w:rsidP="00814859">
          <w:pPr>
            <w:pStyle w:val="50B9E9BC9CD645C4AEC5AAC81F840459"/>
          </w:pPr>
          <w:r w:rsidRPr="0077679D">
            <w:rPr>
              <w:rStyle w:val="PlaceholderText"/>
            </w:rPr>
            <w:t>Enter any content that you want to repeat, including other content controls. You can also insert this control around table rows in order to repeat parts of a table.</w:t>
          </w:r>
        </w:p>
      </w:docPartBody>
    </w:docPart>
    <w:docPart>
      <w:docPartPr>
        <w:name w:val="1C03CD633D944B628FBEF5988E419E30"/>
        <w:category>
          <w:name w:val="General"/>
          <w:gallery w:val="placeholder"/>
        </w:category>
        <w:types>
          <w:type w:val="bbPlcHdr"/>
        </w:types>
        <w:behaviors>
          <w:behavior w:val="content"/>
        </w:behaviors>
        <w:guid w:val="{113A3F01-19CE-40FA-B9D4-B72E29D942E4}"/>
      </w:docPartPr>
      <w:docPartBody>
        <w:p w:rsidR="00B605E7" w:rsidRDefault="00814859" w:rsidP="00814859">
          <w:pPr>
            <w:pStyle w:val="1C03CD633D944B628FBEF5988E419E30"/>
          </w:pPr>
          <w:r w:rsidRPr="0077679D">
            <w:rPr>
              <w:rStyle w:val="PlaceholderText"/>
            </w:rPr>
            <w:t>Click or tap here to enter text.</w:t>
          </w:r>
        </w:p>
      </w:docPartBody>
    </w:docPart>
    <w:docPart>
      <w:docPartPr>
        <w:name w:val="DefaultPlaceholder_-1854013435"/>
        <w:category>
          <w:name w:val="General"/>
          <w:gallery w:val="placeholder"/>
        </w:category>
        <w:types>
          <w:type w:val="bbPlcHdr"/>
        </w:types>
        <w:behaviors>
          <w:behavior w:val="content"/>
        </w:behaviors>
        <w:guid w:val="{3CA2887E-D17A-4793-B6B1-0BA906254BCB}"/>
      </w:docPartPr>
      <w:docPartBody>
        <w:p w:rsidR="00FC5EC2" w:rsidRDefault="00B605E7">
          <w:r w:rsidRPr="00EE3E5D">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808"/>
    <w:rsid w:val="00022BF5"/>
    <w:rsid w:val="00072A42"/>
    <w:rsid w:val="000E477C"/>
    <w:rsid w:val="001A3462"/>
    <w:rsid w:val="00221808"/>
    <w:rsid w:val="002D239D"/>
    <w:rsid w:val="002E325D"/>
    <w:rsid w:val="002E4CC1"/>
    <w:rsid w:val="002F7E8F"/>
    <w:rsid w:val="00333914"/>
    <w:rsid w:val="004766A3"/>
    <w:rsid w:val="00486E1C"/>
    <w:rsid w:val="00551CD6"/>
    <w:rsid w:val="005554C8"/>
    <w:rsid w:val="005B0649"/>
    <w:rsid w:val="006126CB"/>
    <w:rsid w:val="0065439E"/>
    <w:rsid w:val="00696F3A"/>
    <w:rsid w:val="006C58D2"/>
    <w:rsid w:val="00753C8E"/>
    <w:rsid w:val="00777B87"/>
    <w:rsid w:val="00814859"/>
    <w:rsid w:val="00856DBA"/>
    <w:rsid w:val="00B605E7"/>
    <w:rsid w:val="00C30D35"/>
    <w:rsid w:val="00EA7BEC"/>
    <w:rsid w:val="00ED7772"/>
    <w:rsid w:val="00FC5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05E7"/>
    <w:rPr>
      <w:color w:val="808080"/>
    </w:rPr>
  </w:style>
  <w:style w:type="paragraph" w:customStyle="1" w:styleId="25284D22F9AB432599632FCA53B16370">
    <w:name w:val="25284D22F9AB432599632FCA53B16370"/>
    <w:rsid w:val="00814859"/>
  </w:style>
  <w:style w:type="paragraph" w:customStyle="1" w:styleId="50B9E9BC9CD645C4AEC5AAC81F840459">
    <w:name w:val="50B9E9BC9CD645C4AEC5AAC81F840459"/>
    <w:rsid w:val="00814859"/>
  </w:style>
  <w:style w:type="paragraph" w:customStyle="1" w:styleId="1C03CD633D944B628FBEF5988E419E30">
    <w:name w:val="1C03CD633D944B628FBEF5988E419E30"/>
    <w:rsid w:val="00814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aker McKenzie">
      <a:dk1>
        <a:srgbClr val="000000"/>
      </a:dk1>
      <a:lt1>
        <a:srgbClr val="FFFFFF"/>
      </a:lt1>
      <a:dk2>
        <a:srgbClr val="C2C3C4"/>
      </a:dk2>
      <a:lt2>
        <a:srgbClr val="5F5F5F"/>
      </a:lt2>
      <a:accent1>
        <a:srgbClr val="EE3135"/>
      </a:accent1>
      <a:accent2>
        <a:srgbClr val="AE132A"/>
      </a:accent2>
      <a:accent3>
        <a:srgbClr val="7A0223"/>
      </a:accent3>
      <a:accent4>
        <a:srgbClr val="002856"/>
      </a:accent4>
      <a:accent5>
        <a:srgbClr val="F58220"/>
      </a:accent5>
      <a:accent6>
        <a:srgbClr val="007B66"/>
      </a:accent6>
      <a:hlink>
        <a:srgbClr val="EE3135"/>
      </a:hlink>
      <a:folHlink>
        <a:srgbClr val="EE313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2020-01-17T00:00:00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igrationWizIdPermissionLevels xmlns="ddd3adf8-e9ce-43fc-b18f-f114bb3bf01b" xsi:nil="true"/>
    <MigrationWizId xmlns="ddd3adf8-e9ce-43fc-b18f-f114bb3bf01b" xsi:nil="true"/>
    <MigrationWizIdPermissions xmlns="ddd3adf8-e9ce-43fc-b18f-f114bb3bf01b" xsi:nil="true"/>
    <MigrationWizIdDocumentLibraryPermissions xmlns="ddd3adf8-e9ce-43fc-b18f-f114bb3bf01b" xsi:nil="true"/>
    <MigrationWizIdSecurityGroups xmlns="ddd3adf8-e9ce-43fc-b18f-f114bb3bf01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4B400A3AA37244823AD8DC1C6835A7" ma:contentTypeVersion="16" ma:contentTypeDescription="Create a new document." ma:contentTypeScope="" ma:versionID="48d3fb8d77d5908ea14343df2489da8d">
  <xsd:schema xmlns:xsd="http://www.w3.org/2001/XMLSchema" xmlns:xs="http://www.w3.org/2001/XMLSchema" xmlns:p="http://schemas.microsoft.com/office/2006/metadata/properties" xmlns:ns2="ddd3adf8-e9ce-43fc-b18f-f114bb3bf01b" xmlns:ns3="fa387d1b-7b7d-44fe-8810-fc812ae8cc12" targetNamespace="http://schemas.microsoft.com/office/2006/metadata/properties" ma:root="true" ma:fieldsID="f238a5b439a87a6f33fc1b70cce05a38" ns2:_="" ns3:_="">
    <xsd:import namespace="ddd3adf8-e9ce-43fc-b18f-f114bb3bf01b"/>
    <xsd:import namespace="fa387d1b-7b7d-44fe-8810-fc812ae8cc12"/>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d3adf8-e9ce-43fc-b18f-f114bb3bf01b"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387d1b-7b7d-44fe-8810-fc812ae8cc12"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B1CAEF-26DD-4BA6-9890-326E51FFAEDF}">
  <ds:schemaRefs>
    <ds:schemaRef ds:uri="http://schemas.microsoft.com/office/2006/metadata/properties"/>
    <ds:schemaRef ds:uri="http://schemas.microsoft.com/office/infopath/2007/PartnerControls"/>
    <ds:schemaRef ds:uri="ddd3adf8-e9ce-43fc-b18f-f114bb3bf01b"/>
  </ds:schemaRefs>
</ds:datastoreItem>
</file>

<file path=customXml/itemProps3.xml><?xml version="1.0" encoding="utf-8"?>
<ds:datastoreItem xmlns:ds="http://schemas.openxmlformats.org/officeDocument/2006/customXml" ds:itemID="{99641B9A-23B7-4874-A0AF-B69226DA0B91}">
  <ds:schemaRefs>
    <ds:schemaRef ds:uri="http://schemas.microsoft.com/sharepoint/v3/contenttype/forms"/>
  </ds:schemaRefs>
</ds:datastoreItem>
</file>

<file path=customXml/itemProps4.xml><?xml version="1.0" encoding="utf-8"?>
<ds:datastoreItem xmlns:ds="http://schemas.openxmlformats.org/officeDocument/2006/customXml" ds:itemID="{55FCFC57-8971-4143-B2D4-80FFE2C44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d3adf8-e9ce-43fc-b18f-f114bb3bf01b"/>
    <ds:schemaRef ds:uri="fa387d1b-7b7d-44fe-8810-fc812ae8cc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67CF46F-8532-4919-A9CE-86C114B9D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3</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George West</cp:lastModifiedBy>
  <cp:revision>58</cp:revision>
  <dcterms:created xsi:type="dcterms:W3CDTF">2020-06-09T19:44:00Z</dcterms:created>
  <dcterms:modified xsi:type="dcterms:W3CDTF">2021-06-02T18:25:00Z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v-rosi@microsoft.com</vt:lpwstr>
  </property>
  <property fmtid="{D5CDD505-2E9C-101B-9397-08002B2CF9AE}" pid="5" name="MSIP_Label_f42aa342-8706-4288-bd11-ebb85995028c_SetDate">
    <vt:lpwstr>2020-01-28T16:18:19.3267225Z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ActionId">
    <vt:lpwstr>f821c66d-b85a-494f-a342-36ae93d075bd</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y fmtid="{D5CDD505-2E9C-101B-9397-08002B2CF9AE}" pid="11" name="ContentTypeId">
    <vt:lpwstr>0x010100CA4B400A3AA37244823AD8DC1C6835A7</vt:lpwstr>
  </property>
</Properties>
</file>