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Luxembourg Stock Exchange</w:t>
      </w:r>
      <w:r w:rsidR="00480329"/>
    </w:p>
    <w:p w:rsidRPr="00BC7873" w:rsidR="00BC7873" w:rsidP="00D354EF" w:rsidRDefault="00051AB4" w14:paraId="2476CC56" w14:textId="2FB25FA9">
      <w:pPr>
        <w:pStyle w:val="Title"/>
      </w:pPr>
      <w:r w:rsidRPr="00BC7873">
        <w:t>Corporate governance</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Corporate governance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The LuxSE has established and published Ten Principles of Corporate Governance. The Ten Principles of Corporate Governance of the LuxSE apply to Luxembourg issuers of shares listed on the Regulated Market. Luxembourg issuers of securities listed on the Regulated Market also have the obligation to establish an audit committee unless they qualify as small or medium-sized enterprises, undertaking for collective investment, issuer of asset-backed securities or subsidiary of an entity which has established an audit committee. Issuers of securities listed on the Euro MTF (Luxembourg or foreign) are not subject to Luxembourg corporate governance obligations, but the Ten Principles of Corporate Governance provide that they may be used as reference framework even when they are not applicable.</w:t>
              </w:r>
            </w:p>
            <w:p>
              <w:pPr>
                <w:pStyle w:val="BodyText"/>
              </w:pPr>
              <w:r>
                <w:t xml:space="preserve">Foreign issuers have no obligation to comply with Luxembourg corporate governance rules, and also do not need to apply foreign corporate governance principles. Foreign issuers must nevertheless comply with the corporate governance obligations applicable in accordance with the laws of their home jurisdiction.</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