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Luxembourg Stock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For all companies seeking a listing on the Luxembourg Stock Exchange (</w:t>
                  </w:r>
                  <w:r>
                    <w:rPr>
                      <w:i/>
                    </w:rPr>
                    <w:t xml:space="preserve">Bourse de Luxembourg</w:t>
                  </w:r>
                  <w:r>
                    <w:t xml:space="preserve">) (more commonly referred to as the LuxSE):</w:t>
                  </w:r>
                </w:p>
                <w:p>
                  <w:pPr>
                    <w:pStyle w:val="BodyText"/>
                  </w:pPr>
                  <w:pPr>
                    <w:pStyle w:val="ListParagraph"/>
                    <w:numPr>
                      <w:ilvl w:val="0"/>
                      <w:numId w:val="23"/>
                    </w:numPr>
                  </w:pPr>
                  <w:r>
                    <w:t xml:space="preserve">Audited historical financial statements: 3 years for equity securities, 2 years for debt securities. Exemption from the obligation to provide historical financial statements is generally granted to special purpose vehicles. Interim financial statements and pro forma financial statements may also be required. The form and content of the financial information depends on the type of securities and the Luxembourg market where they will be listed.</w:t>
                  </w:r>
                </w:p>
                <w:p>
                  <w:pPr>
                    <w:pStyle w:val="BodyText"/>
                  </w:pPr>
                  <w:pPr>
                    <w:pStyle w:val="ListParagraph"/>
                    <w:numPr>
                      <w:ilvl w:val="0"/>
                      <w:numId w:val="23"/>
                    </w:numPr>
                  </w:pPr>
                  <w:r>
                    <w:t xml:space="preserve">Additional criteria based on the type of securities issued:</w:t>
                  </w:r>
                </w:p>
                <w:p>
                  <w:pPr>
                    <w:pStyle w:val="BodyText"/>
                  </w:pPr>
                  <w:pPr>
                    <w:ind w:left="300"/>
                  </w:pPr>
                  <w:r>
                    <w:rPr>
                      <w:i/>
                    </w:rPr>
                    <w:t xml:space="preserve">Shares</w:t>
                  </w:r>
                  <w:r>
                    <w:t xml:space="preserve">. (i) the foreseeable stock market capitalization of the shares to be listed must be at least €1 million (approximately US$1.11 million) or the equivalent amount in another currency, and (ii) the shares must be sufficiently distributed to investors so that a liquid market can develop -the shares are deemed to be sufficiently distributed if at least 25% of the subscribed capital represented by the category of shares listed is distributed to investors or when, due to the high number of shares and units of the same category and the extent of their distribution to investors, proper operation of the market is assured with a lower percentage.</w:t>
                  </w:r>
                </w:p>
                <w:p>
                  <w:pPr>
                    <w:pStyle w:val="BodyText"/>
                  </w:pPr>
                  <w:pPr>
                    <w:ind w:left="300"/>
                  </w:pPr>
                  <w:r>
                    <w:rPr>
                      <w:i/>
                    </w:rPr>
                    <w:t xml:space="preserve">Debt securities</w:t>
                  </w:r>
                  <w:r>
                    <w:t xml:space="preserve">. (i) the minimum amount of the issuance is €200,000 (approximately US$221,000) or the equivalent amount in another currency, (ii) 2-years financial statements of the guarantors, if 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Share price</w:t>
                  </w:r>
                  <w:r>
                    <w:t xml:space="preserve">. There is no minimum closing or offering price for shares to be listed, but the LuxSE in practice will be reluctant to accept penny stock.</w:t>
                  </w:r>
                </w:p>
                <w:p>
                  <w:pPr>
                    <w:pStyle w:val="BodyText"/>
                  </w:pPr>
                  <w:r>
                    <w:rPr>
                      <w:i/>
                    </w:rPr>
                    <w:t xml:space="preserve">Presence in Luxembourg</w:t>
                  </w:r>
                  <w:r>
                    <w:t xml:space="preserve">. Foreign issuers have no obligation to maintain a presence in Luxembourg. In particular, no corporate records need to be kept in Luxembourg by the sole reason of the listing on the LuxSE. Issuers of debt securities must however appoint a Luxembourg paying agent.</w:t>
                  </w:r>
                </w:p>
                <w:p>
                  <w:pPr>
                    <w:pStyle w:val="BodyText"/>
                  </w:pPr>
                  <w:r>
                    <w:rPr>
                      <w:i/>
                    </w:rPr>
                    <w:t xml:space="preserve">Accounting standards</w:t>
                  </w:r>
                  <w:r>
                    <w:t xml:space="preserve">. For a Regulated Market listing, the accounts should generally be prepared under IFRS, or for an issuer incorporated outside the EEA, the accounts should be prepared either under IFRS or under US, Canadian, Chinese, Korean or Japanese GAAP or (for a limited period) under Indian GAAP. For a Euro MTF listing the financial statements may be prepared under GAAP applicable in the home jurisdiction of the issuer.</w:t>
                  </w:r>
                </w:p>
                <w:p>
                  <w:pPr>
                    <w:pStyle w:val="BodyText"/>
                  </w:pPr>
                  <w:r>
                    <w:rPr>
                      <w:i/>
                    </w:rPr>
                    <w:t xml:space="preserve">Financial statements</w:t>
                  </w:r>
                  <w:r>
                    <w:t xml:space="preserve">. Financial statements of the issuer and guarantors for the past two financial years must be provided with the listing application. In addition, interim financial statements need to be prepared if the last approved financial statements are dated more than nine months after the end of the last audited financial year. If such interim financial information is unaudited, it must be stated in the prospectus.</w:t>
                  </w:r>
                </w:p>
                <w:p>
                  <w:pPr>
                    <w:pStyle w:val="BodyText"/>
                  </w:pPr>
                  <w:r>
                    <w:rPr>
                      <w:i/>
                    </w:rPr>
                    <w:t xml:space="preserve">Operating history.</w:t>
                  </w:r>
                  <w:r>
                    <w:t xml:space="preserve"> In principle, issuers need to have closed three financial years in order to submit a listing application. Exemption from this obligation may be granted by the LuxSE.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Listing involves the Financial Supervision Commission (</w:t>
                  </w:r>
                  <w:r>
                    <w:rPr>
                      <w:i/>
                    </w:rPr>
                    <w:t xml:space="preserve">Commission de Surveillance du Secteur Financier</w:t>
                  </w:r>
                  <w:r>
                    <w:t xml:space="preserve"> or CSSF) or the LuxSE, depending whether the securities are listed on the Regulated Market or the Euro MTF. The following is a fairly typical process and timetable for a listing of shares of a foreign issuer on the Regulated Market.</w:t>
                  </w:r>
                </w:p>
                <w:p>
                  <w:pPr>
                    <w:pStyle w:val="BodyText"/>
                  </w:pPr>
                  <w:hyperlink w:history="true" r:id="Rdee9369ce3d14b49">
                    <w:r>
                      <w:rPr>
                        <w:rStyle w:val="Hyperlink"/>
                      </w:rPr>
                      <w:t xml:space="preserve">Link to Timetable</w:t>
                    </w:r>
                  </w:hyperlink>
                </w:p>
                <w:p>
                  <w:pPr>
                    <w:pStyle w:val="BodyText"/>
                  </w:pPr>
                  <w:r>
                    <w:rPr>
                      <w:i/>
                    </w:rPr>
                    <w:t xml:space="preserve">Note: for admission to listing of debt securities, whether on the Regulated Market or the Euro MTF the process and timetable are comparable, save that the prospectus approval may be shortened to one to three weeks.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Foreign issuers have no obligation to comply with Luxembourg corporate governance rules. Foreign issuers must nevertheless comply with their home jurisdiction corporate governance obligations.</w:t>
                  </w:r>
                </w:p>
                <w:p>
                  <w:pPr>
                    <w:pStyle w:val="BodyText"/>
                  </w:pPr>
                  <w:r>
                    <w:t xml:space="preserve">Luxembourg issuers of shares listed on the Regulated Market are subject to the Ten Principles of Corporate Governance of the LuxSE.</w:t>
                  </w:r>
                </w:p>
                <w:p>
                  <w:pPr>
                    <w:pStyle w:val="BodyText"/>
                  </w:pPr>
                  <w:r>
                    <w:t xml:space="preserve">Luxembourg issuers of securities listed on the Regulated Market have, among others, the obligation to establish an audit committee, unless they qualify as small or medium-sized enterprise, undertaking for collective investment, issuer of asset-backed securities, or a subsidiary of an entity which has established an audit committee.</w:t>
                  </w:r>
                </w:p>
                <w:p>
                  <w:pPr>
                    <w:pStyle w:val="BodyText"/>
                  </w:pPr>
                  <w:r>
                    <w:t xml:space="preserve">Luxembourg issuers of securities listed on the Euro MTF (Luxembourg or foreign) are not subject to Luxembourg corporate governance obligations.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list must pay both initial listing fees and annual fees to the LuxSE and the CSSF (if the prospectus is subject to CSSF approval). The LuxSE applies listing fees of €3,000 (approximately US$3,315) and approval fees (where applicable) of €3,000 for the listing of shares and units of EU-domiciled investments funds. Additional fees of a lower amount are payable for the listing of new securities. The LuxSE applies yearly maintenance fees for the administrative work which amount depends, among others, on the securities listed: for debt securities from €500 to €900 (approximately US$553 to US$995); for warrants €300 (approximately US$332); for shares and depositary receipts yearly maintenance fees amount to a minimum of €2,600 (approximately US$2,873) for the first quotation line. Additional fees are payable for each following quotation line.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Created in 1928, the Luxembourg Stock Exchange (</w:t>
                  </w:r>
                  <w:r>
                    <w:rPr>
                      <w:i/>
                    </w:rPr>
                    <w:t xml:space="preserve">Bourse de Luxembourg</w:t>
                  </w:r>
                  <w:r>
                    <w:t xml:space="preserve">) (more commonly referred to as the LuxSE) currently operates two markets:</w:t>
                  </w:r>
                </w:p>
                <w:p>
                  <w:pPr>
                    <w:pStyle w:val="BodyText"/>
                  </w:pPr>
                  <w:pPr>
                    <w:pStyle w:val="ListParagraph"/>
                    <w:numPr>
                      <w:ilvl w:val="0"/>
                      <w:numId w:val="21"/>
                    </w:numPr>
                  </w:pPr>
                  <w:r>
                    <w:t xml:space="preserve">A main regulated market offering a European passport (the Regulated Market).</w:t>
                  </w:r>
                </w:p>
                <w:p>
                  <w:pPr>
                    <w:pStyle w:val="BodyText"/>
                  </w:pPr>
                  <w:pPr>
                    <w:pStyle w:val="ListParagraph"/>
                    <w:numPr>
                      <w:ilvl w:val="0"/>
                      <w:numId w:val="21"/>
                    </w:numPr>
                  </w:pPr>
                  <w:r>
                    <w:t xml:space="preserve">An exchange-regulated market (multilateral trading facility) (the Euro MTF).</w:t>
                  </w:r>
                </w:p>
                <w:p>
                  <w:pPr>
                    <w:pStyle w:val="BodyText"/>
                  </w:pPr>
                  <w:r>
                    <w:t xml:space="preserve">In addition, the LuxSE offers issuers the possibility to register their securities on the Securities Official List (SOL), without admission to trading. SOL is designed for issuers looking for visibility for their securities and for whom admission to trading is not a prerequisite.</w:t>
                  </w:r>
                </w:p>
                <w:p>
                  <w:pPr>
                    <w:pStyle w:val="BodyText"/>
                  </w:pPr>
                  <w:r>
                    <w:rPr>
                      <w:i/>
                    </w:rPr>
                    <w:t xml:space="preserve">The Regulated Market</w:t>
                  </w:r>
                </w:p>
                <w:p>
                  <w:pPr>
                    <w:pStyle w:val="BodyText"/>
                  </w:pPr>
                  <w:r>
                    <w:t xml:space="preserve">The Regulated Market offers a European passport for the admission to trading of securities to other European regulated markets. The competent regulatory authority to approve the listing prospectus is the Luxembourg Financial Supervision Commission (</w:t>
                  </w:r>
                  <w:r>
                    <w:rPr>
                      <w:i/>
                    </w:rPr>
                    <w:t xml:space="preserve">Commission de Surveillance du Secteur Financier</w:t>
                  </w:r>
                  <w:r>
                    <w:t xml:space="preserve"> or CSSF) or the competent authority of the issuer’s home member state for purposes of Regulation (EU) 2017/1129 of the European Parliament and of the Council of 14 June 2017 on the prospectus to be published when securities are offered to the public or admitted to trading on a regulated market, if it is not Luxembourg. The listing of certain securities which do not benefit from the European listing and offering passport (e.g., non-EU open-ended undertakings for collective investment, money market instruments having a maturity at the issue of less than 12 months) is not subject to CSSF approval.</w:t>
                  </w:r>
                </w:p>
                <w:p>
                  <w:pPr>
                    <w:pStyle w:val="BodyText"/>
                  </w:pPr>
                  <w:r>
                    <w:rPr>
                      <w:i/>
                    </w:rPr>
                    <w:t xml:space="preserve">The Euro MTF</w:t>
                  </w:r>
                </w:p>
                <w:p>
                  <w:pPr>
                    <w:pStyle w:val="BodyText"/>
                  </w:pPr>
                  <w:r>
                    <w:t xml:space="preserve">The Euro MTF was launched in 2005 and is appropriate for issuers not interested in the European passport and that wish to benefit from a European listing and less stringent financial reporting obligations. The Euro MTF market is an acceptable market for the purpose of eligibility of securities as collateral for the Eurosystem. For listings on the Euro MTF, the relevant regulatory authority is the LuxSE.</w:t>
                  </w:r>
                </w:p>
                <w:p>
                  <w:pPr>
                    <w:pStyle w:val="BodyText"/>
                  </w:pPr>
                  <w:r>
                    <w:t xml:space="preserve">The trading system and market rules are identical for both markets. They function with a central order book and trades are executed with the use of Euronext’s Universal Trading Platform pursuant to a partnership agreement dated 22 March 2007 between Euronext N.V. and the LuxSE.</w:t>
                  </w:r>
                </w:p>
                <w:p>
                  <w:pPr>
                    <w:pStyle w:val="BodyText"/>
                  </w:pPr>
                  <w:r>
                    <w:t xml:space="preserve">The LuxSE has developed a pragmatic approach over time, keen to admit innovative products to trading, including:</w:t>
                  </w:r>
                </w:p>
                <w:p>
                  <w:pPr>
                    <w:pStyle w:val="BodyText"/>
                  </w:pPr>
                  <w:pPr>
                    <w:pStyle w:val="ListParagraph"/>
                    <w:numPr>
                      <w:ilvl w:val="0"/>
                      <w:numId w:val="22"/>
                    </w:numPr>
                  </w:pPr>
                  <w:r>
                    <w:t xml:space="preserve">The listing of the first European Eurobonds in 1963.</w:t>
                  </w:r>
                </w:p>
                <w:p>
                  <w:pPr>
                    <w:pStyle w:val="BodyText"/>
                  </w:pPr>
                  <w:pPr>
                    <w:pStyle w:val="ListParagraph"/>
                    <w:numPr>
                      <w:ilvl w:val="0"/>
                      <w:numId w:val="22"/>
                    </w:numPr>
                  </w:pPr>
                  <w:r>
                    <w:t xml:space="preserve">The listing of global depositary receipts (GDRs) notably coming from emerging countries. Two indices were launched: the GDRs India and the GDRs Taiwan.</w:t>
                  </w:r>
                </w:p>
                <w:p>
                  <w:pPr>
                    <w:pStyle w:val="BodyText"/>
                  </w:pPr>
                  <w:pPr>
                    <w:pStyle w:val="ListParagraph"/>
                    <w:numPr>
                      <w:ilvl w:val="0"/>
                      <w:numId w:val="22"/>
                    </w:numPr>
                  </w:pPr>
                  <w:r>
                    <w:rPr>
                      <w:i/>
                    </w:rPr>
                    <w:t xml:space="preserve">Shariah</w:t>
                  </w:r>
                  <w:r>
                    <w:t xml:space="preserve">-compliant </w:t>
                  </w:r>
                  <w:r>
                    <w:rPr>
                      <w:i/>
                    </w:rPr>
                    <w:t xml:space="preserve">sukuk </w:t>
                  </w:r>
                  <w:r>
                    <w:t xml:space="preserve">loan notes, contingent convertible bonds, and Dim Sum bonds.</w:t>
                  </w:r>
                </w:p>
                <w:p>
                  <w:pPr>
                    <w:pStyle w:val="BodyText"/>
                  </w:pPr>
                  <w:pPr>
                    <w:pStyle w:val="ListParagraph"/>
                    <w:numPr>
                      <w:ilvl w:val="0"/>
                      <w:numId w:val="22"/>
                    </w:numPr>
                  </w:pPr>
                  <w:r>
                    <w:t xml:space="preserve">Non-European undertakings for collective investment (such as Cayman and Jersey funds).</w:t>
                  </w:r>
                </w:p>
                <w:p>
                  <w:pPr>
                    <w:pStyle w:val="BodyText"/>
                  </w:pPr>
                  <w:r>
                    <w:t xml:space="preserve">The LuxSE does not specialize in, or encourage listings by, particular types of companies. However, over the years the LuxSE has become a prime location for the listing of depositary receipts, international bonds, and units and shares in European and non-European undertakings for collective investment.</w:t>
                  </w:r>
                </w:p>
                <w:p>
                  <w:pPr>
                    <w:pStyle w:val="BodyText"/>
                  </w:pPr>
                  <w:r>
                    <w:t xml:space="preserve">Historically, mainly foreign issuers and Luxembourg special purpose vehicles were listed on the LuxSE. This has not changed over the past years.</w:t>
                  </w:r>
                </w:p>
                <w:p>
                  <w:pPr>
                    <w:pStyle w:val="BodyText"/>
                  </w:pPr>
                  <w:r>
                    <w:t xml:space="preserve">In addition, in 2016, the LuxSE created the Luxembourg Green Exchange, which is a platform dedicated exclusively to sustainable finance where the sustainable securities traded on the Regulated Market and the EuroMTF are displayed.</w:t>
                  </w:r>
                </w:p>
                <w:p>
                  <w:pPr>
                    <w:pStyle w:val="BodyText"/>
                  </w:pPr>
                  <w:r>
                    <w:t xml:space="preserve">There are no different listing categories or segments. Listing admission and reporting rules are however different between the Regulated Market and the Euro MTF. The LuxSE does not recognize differences between primary and secondary listings.</w:t>
                  </w:r>
                </w:p>
                <w:p>
                  <w:pPr>
                    <w:pStyle w:val="BodyText"/>
                  </w:pPr>
                  <w:r>
                    <w:t xml:space="preserve">As at January 2024, more than 1,800 issuers from more than 100 different countries had securities admitted on the official list of the LuxSE. More than 41,000 securities were listed, consisting of debt securities, share classes in investment funds, stocks and shares, warrants and other securities.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Issuers from all jurisdictions and industries are in principle acceptable for a listing on the LuxSE.</w:t>
                  </w:r>
                </w:p>
                <w:p>
                  <w:pPr>
                    <w:pStyle w:val="BodyText"/>
                  </w:pPr>
                  <w:pPr>
                    <w:spacing w:after="220"/>
                  </w:pPr>
                  <w:r>
                    <w:t xml:space="preserve">The main listing admission criteria on the LuxSE are:</w:t>
                  </w:r>
                </w:p>
                <w:p>
                  <w:pPr>
                    <w:pStyle w:val="BodyText"/>
                  </w:pPr>
                  <w:pPr>
                    <w:pStyle w:val="ListParagraph"/>
                    <w:numPr>
                      <w:ilvl w:val="0"/>
                      <w:numId w:val="19"/>
                    </w:numPr>
                  </w:pPr>
                  <w:r>
                    <w:t xml:space="preserve">A regulator-approved prospectus.</w:t>
                  </w:r>
                </w:p>
                <w:p>
                  <w:pPr>
                    <w:pStyle w:val="BodyText"/>
                  </w:pPr>
                  <w:pPr>
                    <w:pStyle w:val="ListParagraph"/>
                    <w:numPr>
                      <w:ilvl w:val="0"/>
                      <w:numId w:val="19"/>
                    </w:numPr>
                  </w:pPr>
                  <w:r>
                    <w:t xml:space="preserve">Audited historical financial statements: 3 years for equity securities, 2 years for debt securities. Exemption from the obligation to provide historical financial statements is generally granted to special purpose vehicles. Interim financial statements and pro forma financial statements may also be required. The form and content of the financial information depends on the type of securities and the Luxembourg market where they will be listed.</w:t>
                  </w:r>
                </w:p>
                <w:p>
                  <w:pPr>
                    <w:pStyle w:val="BodyText"/>
                  </w:pPr>
                  <w:pPr>
                    <w:pStyle w:val="ListParagraph"/>
                    <w:numPr>
                      <w:ilvl w:val="0"/>
                      <w:numId w:val="19"/>
                    </w:numPr>
                  </w:pPr>
                  <w:r>
                    <w:t xml:space="preserve">Additional criteria based on the type of securities issued. Specifically:</w:t>
                  </w:r>
                </w:p>
                <w:p>
                  <w:pPr>
                    <w:pStyle w:val="BodyText"/>
                  </w:pPr>
                  <w:pPr>
                    <w:pStyle w:val="ListParagraph"/>
                    <w:numPr>
                      <w:ilvl w:val="1"/>
                      <w:numId w:val="20"/>
                    </w:numPr>
                    <w:ind w:left="1560"/>
                  </w:pPr>
                  <w:r>
                    <w:t xml:space="preserve">Shares: (i) the foreseeable stock market capitalization of the shares to be listed must be at least €1 million (approximately US$1.11 million) or the equivalent amount in another currency, and (ii) the shares must be sufficiently distributed to investors so that a liquid market can develop. The shares are deemed to be sufficiently distributed if at least 25% of the subscribed capital represented by the category of shares listed is distributed to investors or when, due to the high number of shares and units of the same category and the extent of their distribution to investors, proper operation of the market is assured with a lower percentage.</w:t>
                  </w:r>
                </w:p>
                <w:p>
                  <w:pPr>
                    <w:pStyle w:val="BodyText"/>
                  </w:pPr>
                  <w:pPr>
                    <w:pStyle w:val="ListParagraph"/>
                    <w:numPr>
                      <w:ilvl w:val="1"/>
                      <w:numId w:val="20"/>
                    </w:numPr>
                    <w:ind w:left="1560"/>
                  </w:pPr>
                  <w:r>
                    <w:t xml:space="preserve">Debt securities: (i) the minimum amount of the issuance is €200,000 (approximately US$221,000) or the equivalent amount in another currency, (ii) 2-years financial statements of the guarantors, if any.</w:t>
                  </w:r>
                </w:p>
                <w:p>
                  <w:pPr>
                    <w:pStyle w:val="BodyText"/>
                  </w:pPr>
                  <w:pPr>
                    <w:spacing w:after="220"/>
                  </w:pPr>
                  <w:r>
                    <w:t xml:space="preserve">Even though it is not expressly required under the rules and regulations of the LuxSE, the LuxSE will also expect background information on the transaction.</w:t>
                  </w:r>
                </w:p>
                <w:p>
                  <w:pPr>
                    <w:pStyle w:val="BodyText"/>
                  </w:pPr>
                  <w:pPr>
                    <w:spacing w:after="220"/>
                  </w:pPr>
                  <w:r>
                    <w:t xml:space="preserve">There are no express ownership requirements applicable to the listing of an issuer’s securities. However, for shares the obligation of a distribution sufficient for a market to develop requires that the free float is in the hands of several investors. In addition, under anti-money laundering rules, ultimate beneficial owner(s) of the issuer must be disclosed to the Luxembourg listing agent and certain other Luxembourg service providers assisting with the listing.</w:t>
                  </w:r>
                </w:p>
                <w:p>
                  <w:pPr>
                    <w:pStyle w:val="BodyText"/>
                  </w:pPr>
                  <w:pPr>
                    <w:spacing w:after="220"/>
                  </w:pPr>
                  <w:r>
                    <w:t xml:space="preserve">Luxembourg</w:t>
                  </w:r>
                  <w:r>
                    <w:t xml:space="preserve"> corporate governance rules do not apply to foreign issuers having their securities listed on a Luxembourg market. The Ten Principles of Corporate Governance of the LuxSE however provide that they may be used as framework by foreign issuers listed on the LuxSE. In addition, Luxembourg rules may apply incidentally to foreign issuers. For instance, for issuers established outside the European Economic Area whose shares are listed on the Regulated Market, Luxembourg law establishes the periodicity and the content of financial reporting.</w:t>
                  </w:r>
                </w:p>
                <w:p>
                  <w:pPr>
                    <w:pStyle w:val="BodyText"/>
                  </w:pPr>
                  <w:pPr>
                    <w:spacing w:after="220"/>
                  </w:pPr>
                  <w:r>
                    <w:t xml:space="preserve">In order to list securities (in particular to file the listing application), issuers are not required to have a presence in Luxembourg. It is however advisable for issuers to appoint a Luxembourg-based listing agent experienced with the filing procedure with the LuxSE (bank and/or lawyer) to assist with the listing application and with the creation of the securities in the clearing and settlement system. In addition, issuers of debt securities listed in Luxembourg must appoint a Luxembourg paying agent.</w:t>
                  </w:r>
                </w:p>
                <w:p>
                  <w:pPr>
                    <w:pStyle w:val="BodyText"/>
                  </w:pPr>
                  <w:pPr>
                    <w:spacing w:after="220"/>
                  </w:pPr>
                  <w:r>
                    <w:t xml:space="preserve">No interview with the LuxSE is required in order to list securities in Luxembourg. Information requests from the LuxSE may be dealt with by email and telephone. A meeting with the LuxSE may however be useful for transactions if the transaction’s structure is not usual. There is no express requirement for issuers to maintain a minimum number of security holders, or to maintain a minimum trading price for their securities. The LuxSE will nevertheless take into account the number of security holders and the trading price to assess whether or not there is a sufficient market for the securities, and whether the LuxSE shall consider to suspend the listing if there is no longer a sufficient market for the securities.</w:t>
                  </w:r>
                </w:p>
                <w:p>
                  <w:pPr>
                    <w:pStyle w:val="BodyText"/>
                  </w:pPr>
                  <w:pPr>
                    <w:spacing w:after="220"/>
                  </w:pPr>
                  <w:r>
                    <w:t xml:space="preserve">Issuers do not need to demonstrate a particular length of trading history in order to list their securities on a Luxembourg market.</w:t>
                  </w:r>
                </w:p>
                <w:p>
                  <w:pPr>
                    <w:pStyle w:val="BodyText"/>
                  </w:pPr>
                  <w:pPr>
                    <w:spacing w:after="220"/>
                  </w:pPr>
                  <w:r>
                    <w:t xml:space="preserve">The listed securities must be freely transferable and negotiable. There is no obligation to deposit them under escrow.</w:t>
                  </w:r>
                </w:p>
                <w:p>
                  <w:pPr>
                    <w:pStyle w:val="BodyText"/>
                  </w:pPr>
                  <w:pPr>
                    <w:spacing w:after="220"/>
                  </w:pPr>
                  <w:r>
                    <w:t xml:space="preserve">There is no restriction on the currency denomination of securities listed on either of the Luxembourg markets.</w:t>
                  </w:r>
                </w:p>
                <w:p>
                  <w:pPr>
                    <w:pStyle w:val="BodyText"/>
                  </w:pPr>
                  <w:r>
                    <w:t xml:space="preserve">No additional listing maintenance requirements are applicable to a foreign company, except that if the securities of the foreign issuer are not listed in the issuer’s home jurisdiction or the jurisdiction where the securities are mainly distributed, the LuxSE may request comfort that the listing in these jurisdictions has not been sought and been refused by the local regulator for investors protection purposes.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Listing application</w:t>
                  </w:r>
                </w:p>
                <w:p>
                  <w:pPr>
                    <w:pStyle w:val="BodyText"/>
                  </w:pPr>
                  <w:pPr>
                    <w:spacing w:after="220"/>
                  </w:pPr>
                  <w:r>
                    <w:t xml:space="preserve">In connection with a listing to the LuxSE or the Euro MTF, among others, the following documents must be included in the application:</w:t>
                  </w:r>
                </w:p>
                <w:p>
                  <w:pPr>
                    <w:pStyle w:val="BodyText"/>
                  </w:pPr>
                  <w:pPr>
                    <w:pStyle w:val="ListParagraph"/>
                    <w:numPr>
                      <w:ilvl w:val="0"/>
                      <w:numId w:val="15"/>
                    </w:numPr>
                  </w:pPr>
                  <w:r>
                    <w:t xml:space="preserve">Draft prospectus.</w:t>
                  </w:r>
                </w:p>
                <w:p>
                  <w:pPr>
                    <w:pStyle w:val="BodyText"/>
                  </w:pPr>
                  <w:pPr>
                    <w:pStyle w:val="ListParagraph"/>
                    <w:numPr>
                      <w:ilvl w:val="0"/>
                      <w:numId w:val="15"/>
                    </w:numPr>
                  </w:pPr>
                  <w:r>
                    <w:t xml:space="preserve">Constitutional documents of the issuer and the guarantors, if any.</w:t>
                  </w:r>
                </w:p>
                <w:p>
                  <w:pPr>
                    <w:pStyle w:val="BodyText"/>
                  </w:pPr>
                  <w:pPr>
                    <w:pStyle w:val="ListParagraph"/>
                    <w:numPr>
                      <w:ilvl w:val="0"/>
                      <w:numId w:val="15"/>
                    </w:numPr>
                  </w:pPr>
                  <w:r>
                    <w:t xml:space="preserve">Certified copy of the minutes relating to the decision of the issuer and the guarantors, if any, approving the issuance of the securities.</w:t>
                  </w:r>
                </w:p>
                <w:p>
                  <w:pPr>
                    <w:pStyle w:val="BodyText"/>
                  </w:pPr>
                  <w:pPr>
                    <w:pStyle w:val="ListParagraph"/>
                    <w:numPr>
                      <w:ilvl w:val="0"/>
                      <w:numId w:val="15"/>
                    </w:numPr>
                  </w:pPr>
                  <w:r>
                    <w:t xml:space="preserve">Placement agreement / underwriting agreement, if any, and when available.</w:t>
                  </w:r>
                </w:p>
                <w:p>
                  <w:pPr>
                    <w:pStyle w:val="BodyText"/>
                  </w:pPr>
                  <w:pPr>
                    <w:pStyle w:val="ListParagraph"/>
                    <w:numPr>
                      <w:ilvl w:val="0"/>
                      <w:numId w:val="15"/>
                    </w:numPr>
                  </w:pPr>
                  <w:r>
                    <w:t xml:space="preserve">Annual reports of the issuer and the guarantors, if any, for the three last financial years, together with the latest financial statements published by the issuer and the guarantor, as the case may be.</w:t>
                  </w:r>
                </w:p>
                <w:p>
                  <w:pPr>
                    <w:pStyle w:val="BodyText"/>
                  </w:pPr>
                  <w:pPr>
                    <w:pStyle w:val="ListParagraph"/>
                    <w:numPr>
                      <w:ilvl w:val="0"/>
                      <w:numId w:val="15"/>
                    </w:numPr>
                  </w:pPr>
                  <w:r>
                    <w:t xml:space="preserve">Copy of the agreements or any other document governing the representation of the holders of securities, if any.</w:t>
                  </w:r>
                </w:p>
                <w:p>
                  <w:pPr>
                    <w:pStyle w:val="BodyText"/>
                  </w:pPr>
                  <w:pPr>
                    <w:pStyle w:val="ListParagraph"/>
                    <w:numPr>
                      <w:ilvl w:val="0"/>
                      <w:numId w:val="15"/>
                    </w:numPr>
                  </w:pPr>
                  <w:r>
                    <w:t xml:space="preserve">Standard application form and letter(s) of undertaking on the compliance with applicable securities law and listing rules requirements.</w:t>
                  </w:r>
                </w:p>
                <w:p>
                  <w:pPr>
                    <w:pStyle w:val="BodyText"/>
                  </w:pPr>
                  <w:pPr>
                    <w:pStyle w:val="ListParagraph"/>
                    <w:numPr>
                      <w:ilvl w:val="0"/>
                      <w:numId w:val="15"/>
                    </w:numPr>
                  </w:pPr>
                  <w:r>
                    <w:t xml:space="preserve">List of the issuer's beneficial owner(s), including their country(ies) of residence.</w:t>
                  </w:r>
                </w:p>
                <w:p>
                  <w:pPr>
                    <w:pStyle w:val="BodyText"/>
                  </w:pPr>
                  <w:r>
                    <w:rPr>
                      <w:i/>
                    </w:rPr>
                    <w:t xml:space="preserve">Prospectus</w:t>
                  </w:r>
                </w:p>
                <w:p>
                  <w:pPr>
                    <w:pStyle w:val="BodyText"/>
                  </w:pPr>
                  <w:r>
                    <w:t xml:space="preserve">The content of the prospectus depends mainly on whether the issuer is private or sovereign, the type of securities listed and, in the case of an offering, the investors to whom the securities are offered. Exemptions from the obligation to publish a listing prospectus, or to provide certain information in the prospectus, are available for listings of certain securities on the LuxSE and/or the Euro MTF, including, for example:</w:t>
                  </w:r>
                </w:p>
                <w:p>
                  <w:pPr>
                    <w:pStyle w:val="BodyText"/>
                  </w:pPr>
                  <w:pPr>
                    <w:pStyle w:val="ListParagraph"/>
                    <w:numPr>
                      <w:ilvl w:val="0"/>
                      <w:numId w:val="16"/>
                    </w:numPr>
                  </w:pPr>
                  <w:r>
                    <w:t xml:space="preserve">An exemption from the obligation to have a new prospectus approved in Luxembourg is available for listing applications to the Regulated Market when: </w:t>
                  </w:r>
                </w:p>
                <w:p>
                  <w:pPr>
                    <w:pStyle w:val="BodyText"/>
                  </w:pPr>
                  <w:pPr>
                    <w:pStyle w:val="ListParagraph"/>
                    <w:numPr>
                      <w:ilvl w:val="1"/>
                      <w:numId w:val="17"/>
                    </w:numPr>
                    <w:ind w:left="1560"/>
                  </w:pPr>
                  <w:r>
                    <w:t xml:space="preserve">the securities, or securities of the same kind, are already admitted to trading for at least 18 months on another Regulated Market (within the meaning of Directive 2014/65/EU on Markets in Financial Instruments) established in the European Economic Area;</w:t>
                  </w:r>
                </w:p>
                <w:p>
                  <w:pPr>
                    <w:pStyle w:val="BodyText"/>
                  </w:pPr>
                  <w:pPr>
                    <w:pStyle w:val="ListParagraph"/>
                    <w:numPr>
                      <w:ilvl w:val="1"/>
                      <w:numId w:val="17"/>
                    </w:numPr>
                    <w:ind w:left="1560"/>
                  </w:pPr>
                  <w:r>
                    <w:t xml:space="preserve">an offering document was approved and published in accordance with applicable regulatory requirements; </w:t>
                  </w:r>
                </w:p>
                <w:p>
                  <w:pPr>
                    <w:pStyle w:val="BodyText"/>
                  </w:pPr>
                  <w:pPr>
                    <w:pStyle w:val="ListParagraph"/>
                    <w:numPr>
                      <w:ilvl w:val="1"/>
                      <w:numId w:val="17"/>
                    </w:numPr>
                    <w:ind w:left="1560"/>
                  </w:pPr>
                  <w:r>
                    <w:t xml:space="preserve">the issuer complies with its obligations resulting from trading on the primary market, and </w:t>
                  </w:r>
                </w:p>
                <w:p>
                  <w:pPr>
                    <w:pStyle w:val="BodyText"/>
                  </w:pPr>
                  <w:pPr>
                    <w:pStyle w:val="ListParagraph"/>
                    <w:numPr>
                      <w:ilvl w:val="1"/>
                      <w:numId w:val="17"/>
                    </w:numPr>
                    <w:ind w:left="1560"/>
                  </w:pPr>
                  <w:r>
                    <w:t xml:space="preserve">a summary of the prospectus is published in Luxembourg.</w:t>
                  </w:r>
                </w:p>
                <w:p>
                  <w:pPr>
                    <w:pStyle w:val="BodyText"/>
                  </w:pPr>
                  <w:pPr>
                    <w:pStyle w:val="ListParagraph"/>
                    <w:numPr>
                      <w:ilvl w:val="0"/>
                      <w:numId w:val="16"/>
                    </w:numPr>
                  </w:pPr>
                  <w:r>
                    <w:t xml:space="preserve">The listing of additional shares, representing over a period of 12 months less than 20% of the shares of the same class already listed on a Luxembourg market.</w:t>
                  </w:r>
                </w:p>
                <w:p>
                  <w:pPr>
                    <w:pStyle w:val="BodyText"/>
                  </w:pPr>
                  <w:r>
                    <w:t xml:space="preserve">An exemption from the obligation to include the financial statements of the guarantors in a debt securities listing prospectus may be granted on a case-by-case basis if: (i) the guarantees concerned are unconditional and irrevocable; (ii) the guarantor subsidiaries represent at least 75% of net assets or of the group’s EBITDA, and (iii) the prospectus includes a description of the reasons for the omission of separate financial information for the subsidiaries concerned under the section relating to risk factors.</w:t>
                  </w:r>
                </w:p>
                <w:p>
                  <w:pPr>
                    <w:pStyle w:val="BodyText"/>
                  </w:pPr>
                  <w:r>
                    <w:t xml:space="preserve">A prospectus for securities listed on the Regulated Market must comply with the requirements of the law dated 16 July 2019 on prospectuses, as amended, for securities and Regulation (EU) 2017/1129 (itself amended by Regulation (EU) 2021/337 of 16 February 2021 as regards the EU Recovery prospectus and targeted adjustments for financial intermediaries). A prospectus for securities listed on the Euro MTF must comply with the requirements of the rules and regulations of the LuxSE. Both sets of rules provide that the prospectus must include, notably:</w:t>
                  </w:r>
                </w:p>
                <w:p>
                  <w:pPr>
                    <w:pStyle w:val="BodyText"/>
                  </w:pPr>
                  <w:pPr>
                    <w:pStyle w:val="ListParagraph"/>
                    <w:numPr>
                      <w:ilvl w:val="0"/>
                      <w:numId w:val="18"/>
                    </w:numPr>
                  </w:pPr>
                  <w:r>
                    <w:t xml:space="preserve">A description of the issuer.</w:t>
                  </w:r>
                </w:p>
                <w:p>
                  <w:pPr>
                    <w:pStyle w:val="BodyText"/>
                  </w:pPr>
                  <w:pPr>
                    <w:pStyle w:val="ListParagraph"/>
                    <w:numPr>
                      <w:ilvl w:val="0"/>
                      <w:numId w:val="18"/>
                    </w:numPr>
                  </w:pPr>
                  <w:r>
                    <w:t xml:space="preserve">A description of the securities offered, including a description of the underlying assets, if any.</w:t>
                  </w:r>
                </w:p>
                <w:p>
                  <w:pPr>
                    <w:pStyle w:val="BodyText"/>
                  </w:pPr>
                  <w:pPr>
                    <w:pStyle w:val="ListParagraph"/>
                    <w:numPr>
                      <w:ilvl w:val="0"/>
                      <w:numId w:val="18"/>
                    </w:numPr>
                  </w:pPr>
                  <w:r>
                    <w:t xml:space="preserve">The risks linked to the securities.</w:t>
                  </w:r>
                </w:p>
                <w:p>
                  <w:pPr>
                    <w:pStyle w:val="BodyText"/>
                  </w:pPr>
                  <w:pPr>
                    <w:pStyle w:val="ListParagraph"/>
                    <w:numPr>
                      <w:ilvl w:val="0"/>
                      <w:numId w:val="18"/>
                    </w:numPr>
                  </w:pPr>
                  <w:r>
                    <w:t xml:space="preserve">The conditions of the listing.</w:t>
                  </w:r>
                </w:p>
                <w:p>
                  <w:pPr>
                    <w:pStyle w:val="BodyText"/>
                  </w:pPr>
                  <w:pPr>
                    <w:pStyle w:val="ListParagraph"/>
                    <w:numPr>
                      <w:ilvl w:val="0"/>
                      <w:numId w:val="18"/>
                    </w:numPr>
                  </w:pPr>
                  <w:r>
                    <w:t xml:space="preserve">A comparison of the historical financial information of the issuer and/or the guarantor of the securities and/or the issuer’s group.</w:t>
                  </w:r>
                </w:p>
                <w:p>
                  <w:pPr>
                    <w:pStyle w:val="BodyText"/>
                  </w:pPr>
                  <w:pPr>
                    <w:spacing w:after="220"/>
                  </w:pPr>
                  <w:r>
                    <w:t xml:space="preserve">Prospectuses for Euro MTF listings require less detailed disclosures than for a Regulated Market listing.</w:t>
                  </w:r>
                </w:p>
                <w:p>
                  <w:pPr>
                    <w:pStyle w:val="BodyText"/>
                  </w:pPr>
                  <w:r>
                    <w:rPr>
                      <w:i/>
                    </w:rPr>
                    <w:t xml:space="preserve">Financial information</w:t>
                  </w:r>
                </w:p>
                <w:p>
                  <w:pPr>
                    <w:pStyle w:val="BodyText"/>
                  </w:pPr>
                  <w:pPr>
                    <w:spacing w:after="220"/>
                  </w:pPr>
                  <w:r>
                    <w:t xml:space="preserve">Financial statements for the three past financial years must be provided with the listing application. In addition, interim financial statements must be prepared if the last approved financial statements are dated more than nine months after the end of the last audited financial year. If such interim financial information is unaudited, it must be stated in the prospectus.</w:t>
                  </w:r>
                </w:p>
                <w:p>
                  <w:pPr>
                    <w:pStyle w:val="BodyText"/>
                  </w:pPr>
                  <w:pPr>
                    <w:spacing w:after="220"/>
                  </w:pPr>
                  <w:r>
                    <w:t xml:space="preserve">For listings on the Regulated Market, the financial statements must be prepared under IFRS</w:t>
                  </w:r>
                  <w:r>
                    <w:t xml:space="preserve">, or under US, Canadian, Chinese, Korean or Japanese GAAP, which have been deemed equivalent to IFRS by the European Commission, or for a </w:t>
                  </w:r>
                  <w:r>
                    <w:t xml:space="preserve">limited period, under Indian GAAP, which are</w:t>
                  </w:r>
                  <w:r>
                    <w:t xml:space="preserve"> either converging with or are to be replaced by IFRS.</w:t>
                  </w:r>
                </w:p>
                <w:p>
                  <w:pPr>
                    <w:pStyle w:val="BodyText"/>
                  </w:pPr>
                  <w:pPr>
                    <w:spacing w:after="220"/>
                  </w:pPr>
                  <w:r>
                    <w:t xml:space="preserve">For Euro MTF listings, the financial statements may be prepared under GAAP applicable in the home jurisdiction of the issuer, but in that case the LuxSE may request a summary of differences between the GAAP applicable in the home jurisdiction of the issuer and IFRS to be included in the prospectus. </w:t>
                  </w:r>
                </w:p>
                <w:p>
                  <w:pPr>
                    <w:pStyle w:val="BodyText"/>
                  </w:pPr>
                  <w:r>
                    <w:rPr>
                      <w:i/>
                    </w:rPr>
                    <w:t xml:space="preserve">Language</w:t>
                  </w:r>
                </w:p>
                <w:p>
                  <w:pPr>
                    <w:pStyle w:val="BodyText"/>
                  </w:pPr>
                  <w:pPr>
                    <w:spacing w:after="220"/>
                  </w:pPr>
                  <w:r>
                    <w:t xml:space="preserve">The prospectus and the listing application documentation may be filed in English or in one of the official Luxembourg languages (Luxembourgish, French and German).</w:t>
                  </w:r>
                </w:p>
                <w:p>
                  <w:pPr>
                    <w:pStyle w:val="BodyText"/>
                  </w:pPr>
                  <w:r>
                    <w:rPr>
                      <w:i/>
                    </w:rPr>
                    <w:t xml:space="preserve">Typical process and timetable for listing of shares of a foreign company on the Regulated Market.</w:t>
                  </w:r>
                </w:p>
                <w:p>
                  <w:pPr>
                    <w:pStyle w:val="BodyText"/>
                  </w:pPr>
                  <w:hyperlink w:history="true" r:id="Rf667fb7928b44319">
                    <w:r>
                      <w:rPr>
                        <w:rStyle w:val="Hyperlink"/>
                      </w:rPr>
                      <w:t xml:space="preserve">Link to Timetable</w:t>
                    </w:r>
                  </w:hyperlink>
                </w:p>
                <w:p>
                  <w:pPr>
                    <w:pStyle w:val="BodyText"/>
                  </w:pPr>
                  <w:r>
                    <w:rPr>
                      <w:i/>
                      <w:u w:val="single"/>
                    </w:rPr>
                    <w:t xml:space="preserve">Note</w:t>
                  </w:r>
                  <w:r>
                    <w:rPr>
                      <w:i/>
                    </w:rPr>
                    <w:t xml:space="preserve">: for admission to listing of debt securities, whether on the Regulated Market or the Euro MTF the process and timetable are comparable, save that the prospectus approval may be shortened to 1 to 3 weeks.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Subsequent to the initial listing, the issuer is required to report to the public on financial information, information on major shareholdings (for shares), inside information, insider dealings, and other information deemed to be relevant for investors under applicable Luxembourg rules. The extent of the obligation depends on the nature of the securities admitted to trading and also on the Luxembourg market.</w:t>
                  </w:r>
                </w:p>
                <w:p>
                  <w:pPr>
                    <w:pStyle w:val="BodyText"/>
                  </w:pPr>
                  <w:r>
                    <w:t xml:space="preserve">The main reporting and disclosure obligations are:</w:t>
                  </w:r>
                </w:p>
                <w:p>
                  <w:pPr>
                    <w:pStyle w:val="BodyText"/>
                  </w:pPr>
                  <w:pPr>
                    <w:pStyle w:val="ListParagraph"/>
                    <w:numPr>
                      <w:ilvl w:val="0"/>
                      <w:numId w:val="10"/>
                    </w:numPr>
                  </w:pPr>
                  <w:r>
                    <w:t xml:space="preserve"> </w:t>
                  </w:r>
                  <w:r>
                    <w:t xml:space="preserve">Periodic financial reporting:</w:t>
                  </w:r>
                </w:p>
                <w:p>
                  <w:pPr>
                    <w:pStyle w:val="BodyText"/>
                  </w:pPr>
                  <w:hyperlink w:history="true" r:id="R0309ead3be504f97">
                    <w:r>
                      <w:rPr>
                        <w:rStyle w:val="Hyperlink"/>
                      </w:rPr>
                      <w:t xml:space="preserve">Link to Table</w:t>
                    </w:r>
                  </w:hyperlink>
                </w:p>
                <w:p>
                  <w:pPr>
                    <w:pStyle w:val="BodyText"/>
                  </w:pPr>
                  <w:pPr>
                    <w:pStyle w:val="ListParagraph"/>
                    <w:numPr>
                      <w:ilvl w:val="0"/>
                      <w:numId w:val="11"/>
                    </w:numPr>
                  </w:pPr>
                  <w:r>
                    <w:t xml:space="preserve">The CSSF may exempt a foreign issuer from the obligation to comply with the Luxembourg law requirements, if it considers that the jurisdiction of the issuer provides periodic financial reporting equivalent to Luxembourg law requirements.</w:t>
                  </w:r>
                </w:p>
                <w:p>
                  <w:pPr>
                    <w:pStyle w:val="BodyText"/>
                  </w:pPr>
                  <w:pPr>
                    <w:pStyle w:val="ListParagraph"/>
                    <w:numPr>
                      <w:ilvl w:val="0"/>
                      <w:numId w:val="13"/>
                    </w:numPr>
                  </w:pPr>
                  <w:r>
                    <w:t xml:space="preserve">Convening notice of meetings of securities holders.</w:t>
                  </w:r>
                </w:p>
                <w:p>
                  <w:pPr>
                    <w:pStyle w:val="BodyText"/>
                  </w:pPr>
                  <w:pPr>
                    <w:pStyle w:val="ListParagraph"/>
                    <w:numPr>
                      <w:ilvl w:val="0"/>
                      <w:numId w:val="13"/>
                    </w:numPr>
                  </w:pPr>
                  <w:r>
                    <w:t xml:space="preserve">Inside information and insiders’ dealings:</w:t>
                  </w:r>
                </w:p>
                <w:p>
                  <w:pPr>
                    <w:pStyle w:val="BodyText"/>
                  </w:pPr>
                  <w:pPr>
                    <w:pStyle w:val="ListParagraph"/>
                    <w:numPr>
                      <w:ilvl w:val="1"/>
                      <w:numId w:val="14"/>
                    </w:numPr>
                    <w:ind w:left="1560"/>
                  </w:pPr>
                  <w:r>
                    <w:t xml:space="preserve">Rules on inside information and insider dealings are laid down by, among others, the law dated 23 December 2016 on market abuse and Regulation (EU) No 596/2014 of the European Parliament and of the Council of 16 April 2014 on market abuse.</w:t>
                  </w:r>
                </w:p>
                <w:p>
                  <w:pPr>
                    <w:pStyle w:val="BodyText"/>
                  </w:pPr>
                  <w:pPr>
                    <w:pStyle w:val="ListParagraph"/>
                    <w:numPr>
                      <w:ilvl w:val="1"/>
                      <w:numId w:val="14"/>
                    </w:numPr>
                    <w:ind w:left="1560"/>
                  </w:pPr>
                  <w:r>
                    <w:t xml:space="preserve">Inside information means information of a precise nature which has not been made public, relating, directly or indirectly, to one or more issuers of financial instruments or to one or more financial instruments and which, if it were made public, would be likely to have a significant effect on the price of those financial instruments or on the price of related derivative financial instruments.</w:t>
                  </w:r>
                </w:p>
                <w:p>
                  <w:pPr>
                    <w:pStyle w:val="BodyText"/>
                  </w:pPr>
                  <w:pPr>
                    <w:pStyle w:val="ListParagraph"/>
                    <w:numPr>
                      <w:ilvl w:val="1"/>
                      <w:numId w:val="14"/>
                    </w:numPr>
                    <w:ind w:left="1560"/>
                  </w:pPr>
                  <w:r>
                    <w:t xml:space="preserve">Insider dealings are transactions in the securities of an issuer listed on a market of the LuxSE, by persons working for the issuer and having access to inside information, for the own account of these persons, or on behalf of this parties.</w:t>
                  </w:r>
                </w:p>
                <w:p>
                  <w:pPr>
                    <w:pStyle w:val="BodyText"/>
                  </w:pPr>
                  <w:pPr>
                    <w:pStyle w:val="ListParagraph"/>
                    <w:numPr>
                      <w:ilvl w:val="1"/>
                      <w:numId w:val="14"/>
                    </w:numPr>
                    <w:ind w:left="1560"/>
                  </w:pPr>
                  <w:r>
                    <w:t xml:space="preserve">Issuers of securities listed on a Luxembourg market have the obligation to establish and regularly update a list of insiders.</w:t>
                  </w:r>
                </w:p>
                <w:p>
                  <w:pPr>
                    <w:pStyle w:val="BodyText"/>
                  </w:pPr>
                  <w:pPr>
                    <w:pStyle w:val="ListParagraph"/>
                    <w:numPr>
                      <w:ilvl w:val="1"/>
                      <w:numId w:val="14"/>
                    </w:numPr>
                    <w:ind w:left="1560"/>
                  </w:pPr>
                  <w:r>
                    <w:t xml:space="preserve">The violation of the disclosure obligation of inside information may be punished by a maximum fine of €1,000,000 (approximately US$1.11 million) in respect to a natural person and a maximum fine of €2,500,000 (approximately US$2.76 million) or 2% of its total annual turnover according to the last available accounts approved by the management body.</w:t>
                  </w:r>
                </w:p>
                <w:p>
                  <w:pPr>
                    <w:pStyle w:val="BodyText"/>
                  </w:pPr>
                  <w:pPr>
                    <w:pStyle w:val="ListParagraph"/>
                    <w:numPr>
                      <w:ilvl w:val="0"/>
                      <w:numId w:val="13"/>
                    </w:numPr>
                  </w:pPr>
                  <w:r>
                    <w:t xml:space="preserve">Acquisition and disposal of major holdings in the share capital of the issuer of shares listed on the LuxSE.</w:t>
                  </w:r>
                </w:p>
                <w:p>
                  <w:pPr>
                    <w:pStyle w:val="BodyText"/>
                  </w:pPr>
                  <w:pPr>
                    <w:pStyle w:val="ListParagraph"/>
                    <w:numPr>
                      <w:ilvl w:val="0"/>
                      <w:numId w:val="13"/>
                    </w:numPr>
                  </w:pPr>
                  <w:r>
                    <w:t xml:space="preserve">Changes to rights of securities holders.</w:t>
                  </w:r>
                </w:p>
                <w:p>
                  <w:pPr>
                    <w:pStyle w:val="BodyText"/>
                  </w:pPr>
                  <w:pPr>
                    <w:pStyle w:val="ListParagraph"/>
                    <w:numPr>
                      <w:ilvl w:val="0"/>
                      <w:numId w:val="13"/>
                    </w:numPr>
                  </w:pPr>
                  <w:r>
                    <w:t xml:space="preserve">Additional ongoing disclosure obligations for issuers whose securities are listed on the Regulated Market include:</w:t>
                  </w:r>
                </w:p>
                <w:p>
                  <w:pPr>
                    <w:pStyle w:val="BodyText"/>
                  </w:pPr>
                  <w:pPr>
                    <w:pStyle w:val="ListParagraph"/>
                    <w:numPr>
                      <w:ilvl w:val="0"/>
                      <w:numId w:val="13"/>
                    </w:numPr>
                  </w:pPr>
                  <w:r>
                    <w:t xml:space="preserve">Contemplated changes to the constitutional documents to be provided to the European regulator having authority and the LuxSE.</w:t>
                  </w:r>
                </w:p>
                <w:p>
                  <w:pPr>
                    <w:pStyle w:val="BodyText"/>
                  </w:pPr>
                  <w:pPr>
                    <w:pStyle w:val="ListParagraph"/>
                    <w:numPr>
                      <w:ilvl w:val="0"/>
                      <w:numId w:val="13"/>
                    </w:numPr>
                  </w:pPr>
                  <w:r>
                    <w:t xml:space="preserve">Issue of new debt securities listed on the regulated market.</w:t>
                  </w:r>
                </w:p>
                <w:p>
                  <w:pPr>
                    <w:pStyle w:val="BodyText"/>
                  </w:pPr>
                  <w:r>
                    <w:rPr>
                      <w:i/>
                    </w:rPr>
                    <w:t xml:space="preserve">Filing and dissemination of disclosures</w:t>
                  </w:r>
                </w:p>
                <w:p>
                  <w:pPr>
                    <w:pStyle w:val="BodyText"/>
                  </w:pPr>
                  <w:r>
                    <w:t xml:space="preserve">Different publication and filing regimes apply depending on the Luxembourg market where the securities are listed, and if the securities are listed on the Regulated Market, whether Luxembourg is the home Member State of the issuer for purposes of the law dated 11 January 2008 on transparency obligations of securities issuers, as amended.</w:t>
                  </w:r>
                </w:p>
                <w:p>
                  <w:pPr>
                    <w:pStyle w:val="BodyText"/>
                  </w:pPr>
                  <w:r>
                    <w:t xml:space="preserve">For Euro MTF listings, disclosures and reporting information must be sent to the LuxSE via email and published either on the website of the LuxSE, or in a Luxembourg newspaper, or by any other equivalent mean.</w:t>
                  </w:r>
                </w:p>
                <w:p>
                  <w:pPr>
                    <w:pStyle w:val="BodyText"/>
                  </w:pPr>
                  <w:r>
                    <w:t xml:space="preserve">For Regulated Market listings, if Luxembourg is the Home Member State, disclosures and reporting information must be provided to the CSSF, stored on the website of the Officially Appointed Mechanism (which in Luxembourg is the LuxSE’s website), and disseminated via a media having European reach (the LuxSE offers dissemination services which meet this standard).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LuxSE has established and published Ten Principles of Corporate Governance. The Ten Principles of Corporate Governance of the LuxSE apply to Luxembourg issuers of shares listed on the Regulated Market. Luxembourg issuers of securities listed on the Regulated Market also have the obligation to establish an audit committee unless they qualify as small or medium-sized enterprises, undertaking for collective investment, issuer of asset-backed securities or subsidiary of an entity which has established an audit committee. Issuers of securities listed on the Euro MTF (Luxembourg or foreign) are not subject to Luxembourg corporate governance obligations, but the Ten Principles of Corporate Governance provide that they may be used as reference framework even when they are not applicable.</w:t>
                  </w:r>
                </w:p>
                <w:p>
                  <w:pPr>
                    <w:pStyle w:val="BodyText"/>
                  </w:pPr>
                  <w:r>
                    <w:t xml:space="preserve">Foreign issuers have no obligation to comply with Luxembourg corporate governance rules, and also do not need to apply foreign corporate governance principles. Foreign issuers must nevertheless comply with the corporate governance obligations applicable in accordance with the laws of their home jurisdiction.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additional requirements or any changes in the normal requirements that apply to very large multinational companies.</w:t>
                  </w:r>
                </w:p>
                <w:p>
                  <w:pPr>
                    <w:pStyle w:val="BodyText"/>
                  </w:pPr>
                  <w:r>
                    <w:t xml:space="preserve">Pursuant to the applicable prospectus legislation, additional disclosures are required for specialist issuers such as property, mineral, scientific research-based companies.</w:t>
                  </w:r>
                </w:p>
                <w:p>
                  <w:pPr>
                    <w:pStyle w:val="BodyText"/>
                  </w:pPr>
                  <w:r>
                    <w:t xml:space="preserve">There is no formal situation where fast-track listing procedure is available. However, the prospectus approval of issuers who already have securities listed is, in practice, faster.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Foreign issuers have no obligation to maintain a presence in Luxembourg. In particular, no corporate records of a foreign issuer need to be kept in Luxembourg by the sole virtue of the listing on the LuxSE. However, a Luxembourg listing agent is generally appointed for practical purposes. Issuers of debt securities listed in Luxembourg have to appoint a Luxembourg paying agent.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Initial listing</w:t>
                  </w:r>
                </w:p>
                <w:p>
                  <w:pPr>
                    <w:pStyle w:val="BodyText"/>
                  </w:pPr>
                  <w:r>
                    <w:t xml:space="preserve">For the admission to listing, the LuxSE charges fees based on the aggregate value of the securities listed. The LuxSE charge separates fees for the review and approval of the prospectus.</w:t>
                  </w:r>
                </w:p>
                <w:p>
                  <w:pPr>
                    <w:pStyle w:val="BodyText"/>
                  </w:pPr>
                  <w:hyperlink w:history="true" r:id="R6ed9b86599974137">
                    <w:r>
                      <w:rPr>
                        <w:rStyle w:val="Hyperlink"/>
                      </w:rPr>
                      <w:t xml:space="preserve">Link to Table</w:t>
                    </w:r>
                  </w:hyperlink>
                </w:p>
                <w:p>
                  <w:pPr>
                    <w:pStyle w:val="BodyText"/>
                  </w:pPr>
                  <w:r>
                    <w:t xml:space="preserve">For the prospectus approval different fees are applied if the prospectus is subject to approval by another regulator. If the regulator is the CSSF, the fees for the review of a share prospectus amounts to 0.11% of the total amount offered to the public or of the total amount for which admission to trading on a regulated market is requested. This percentage is applied to the higher of the two amounts indicated above, with a minimum lump sum fee of €24,750 (approximately US$27,349) and a maximum lump sum fee of €220,000 (approximately US$243,100). For debt securities the prospectus approval fee is €5,720 (approximately US$6,320). Lower fees are applied for the review of simplified prospectuses and in other situations.</w:t>
                  </w:r>
                </w:p>
                <w:p>
                  <w:pPr>
                    <w:pStyle w:val="BodyText"/>
                  </w:pPr>
                  <w:r>
                    <w:t xml:space="preserve">Additional fees of a lower amount are payable for the listing of new securities.</w:t>
                  </w:r>
                </w:p>
                <w:p>
                  <w:pPr>
                    <w:pStyle w:val="BodyText"/>
                  </w:pPr>
                  <w:r>
                    <w:rPr>
                      <w:i/>
                    </w:rPr>
                    <w:t xml:space="preserve">Ongoing fees</w:t>
                  </w:r>
                </w:p>
                <w:p>
                  <w:pPr>
                    <w:pStyle w:val="BodyText"/>
                  </w:pPr>
                  <w:r>
                    <w:t xml:space="preserve">The LuxSE applies yearly maintenance fees for the administrative work related to a listing.</w:t>
                  </w:r>
                </w:p>
                <w:p>
                  <w:pPr>
                    <w:pStyle w:val="BodyText"/>
                  </w:pPr>
                  <w:r>
                    <w:t xml:space="preserve">For bonds, the fees amount depends on the issued amount: from €500 (approximately US$553) for bonds issued in the amount of less than €50 million (approximately US$55.25 million) to €900 (approximately US$995) for bonds issued in the amount of more than €1 billion (approximately US$1.11 billion).</w:t>
                  </w:r>
                </w:p>
                <w:p>
                  <w:pPr>
                    <w:pStyle w:val="BodyText"/>
                  </w:pPr>
                  <w:r>
                    <w:t xml:space="preserve">For warrants, the yearly maintenance fees amount to €300 (approximately US$332).</w:t>
                  </w:r>
                </w:p>
                <w:p>
                  <w:pPr>
                    <w:pStyle w:val="BodyText"/>
                  </w:pPr>
                  <w:r>
                    <w:t xml:space="preserve">For stocks, shares, and depositary receipts the maintenance fees depend on the number of quotation lines, and whether the issuer has published or registered annual accounts for the three preceding financial years. If the issuer has published or registered its annual accounts for the three preceding financial years the maintenance fees amount to €2,600 (approximately US$2,873) for the first quotation line, €1,950 (approximately US$2,155) for the second, €1,300 (approximately US$1,437) for the third, and €650 (approximately US$718) for the fourth and the following lines. Otherwise for companies that are recently established and have not published annual accounts for the three previous financial years, the maintenance fees amount to €5,250 (approximately US$5,801) for the first quotation line, €4,000 (approximately US$4,420) for the second, €2,750 (approximately US$3,039) for the third, and €1,350 (approximately US$1,492) for the fourth and the following lines.</w:t>
                  </w:r>
                </w:p>
                <w:p>
                  <w:pPr>
                    <w:pStyle w:val="BodyText"/>
                  </w:pPr>
                  <w:r>
                    <w:t xml:space="preserve">Annual fees are also payable to the CSSF when Luxembourg is the Home Member State for the issuer for purposes of the law dated 11 January 2008 on transparency obligations of securities issuers. For issuers of debt securities admitted to the regulated market and with a minimum denomination of €100,000 (approximately US$110,500), the annual fees payable to the CSSF will amount to €2,000 (approximately US$2,210). For issuers of shares whose share capitalization does not exceed €10 billion (approximately US$11.05 billion) the annual fees are €30,000 (approximately US$33,150) plus a variable amount based on the market capitalization of the issuer.</w:t>
                  </w:r>
                </w:p>
                <w:p>
                  <w:pPr>
                    <w:pStyle w:val="BodyText"/>
                  </w:pPr>
                  <w:r>
                    <w:t xml:space="preserve">Other fees apply for the listing and maintenance of shares and units of undertakings for collective investment, and subscription and allotment rights of unlisted companies. Lower fees are applied to supranational issuers.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All correspondence (including with regulators and tax administration) may be submitted in English or in one of the official languages of Luxembourg (Luxembourgish, German and French).</w:t>
                  </w:r>
                </w:p>
                <w:p>
                  <w:pPr>
                    <w:pStyle w:val="BodyText"/>
                  </w:pPr>
                  <w:r>
                    <w:t xml:space="preserve">This summary focuses on the admission to listing in Luxembourg of non-Luxembourg issuers, but often for the efficiency of the structure (in particular from tax perspective) a Luxembourg special purpose vehicle is established in Luxembourg to issue the listed securities.</w:t>
                  </w:r>
                </w:p>
                <w:p>
                  <w:pPr>
                    <w:pStyle w:val="BodyText"/>
                  </w:pPr>
                  <w:r>
                    <w:rPr>
                      <w:i/>
                    </w:rPr>
                    <w:t xml:space="preserve">Key differences in requirements for domestic companies</w:t>
                  </w:r>
                </w:p>
                <w:p>
                  <w:pPr>
                    <w:pStyle w:val="BodyText"/>
                  </w:pPr>
                  <w:r>
                    <w:t xml:space="preserve">The key differences in requirements between domestic and foreign companies listing on the LuxSE relate to corporate governance, financial statements and requests for comfort by the LuxSE.</w:t>
                  </w:r>
                </w:p>
                <w:p>
                  <w:pPr>
                    <w:pStyle w:val="BodyText"/>
                  </w:pPr>
                  <w:r>
                    <w:t xml:space="preserve">Foreign companies are not subject to Luxembourg corporate governance rules, whereas Luxembourg issuers of shares listed on the Regulated Market must comply with the Ten Principles of Corporate Governance of the LuxSE.</w:t>
                  </w:r>
                </w:p>
                <w:p>
                  <w:pPr>
                    <w:pStyle w:val="BodyText"/>
                  </w:pPr>
                  <w:r>
                    <w:t xml:space="preserve">Historical financial statements of issuers who seek listing on the Regulated Market must be prepared under IFRS or accounting standard equivalent to IFRS. Foreign issuers whose historical financial statements have been prepared under local accounting standards which are not deemed equivalent to IFRS therefore must prepare IFRS historical financial statements.</w:t>
                  </w:r>
                </w:p>
                <w:p>
                  <w:pPr>
                    <w:pStyle w:val="BodyText"/>
                  </w:pPr>
                  <w:r>
                    <w:t xml:space="preserve">If the securities of the foreign issuer are not listed in the issuer’s home jurisdiction or the jurisdiction where the securities are mainly distributed, the LuxSE may request comfort that the listing in these jurisdictions has not been sought and been refused by the local regulator for investor protection purposes.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Laurent Fessmann in the Luxembourg office is the most appropriate contact within Baker McKenzie for inquiries about prospective listings on the LuxSE.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12">
    <w:multiLevelType w:val="singleLevel"/>
    <w:lvl w:ilvl="0">
      <w:start w:val="1"/>
      <w:numFmt w:val="bullet"/>
      <w:lvlText w:val="•"/>
    </w:lvl>
  </w:abstractNum>
  <w:num w:numId="12">
    <w:abstractNumId w:val="12"/>
  </w:num>
  <w:num w:numId="13">
    <w:abstractNumId w:val="10"/>
    <w:lvlOverride w:ilvl="0">
      <w:startOverride w:val="1"/>
    </w:lvlOverride>
  </w:num>
  <w:num w:numId="14">
    <w:abstractNumId w:val="10"/>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18"/>
    <w:lvlOverride w:ilvl="0">
      <w:startOverride w:val="1"/>
    </w:lvlOverride>
  </w:num>
  <w:num w:numId="18">
    <w:abstractNumId w:val="18"/>
    <w:lvlOverride w:ilvl="0">
      <w:startOverride w:val="1"/>
    </w:lvlOverride>
  </w:num>
  <w:num w:numId="19">
    <w:abstractNumId w:val="26"/>
    <w:lvlOverride w:ilvl="0">
      <w:startOverride w:val="1"/>
    </w:lvlOverride>
  </w:num>
  <w:num w:numId="20">
    <w:abstractNumId w:val="26"/>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luxembourg---fees.pdf?rev=b7b1e1ce6253468798ab138b1d2d2906&amp;sc_lang=en" TargetMode="External" Id="R6ed9b86599974137" /><Relationship Type="http://schemas.openxmlformats.org/officeDocument/2006/relationships/hyperlink" Target="https://resourcehub.bakermckenzie.com/en/-/media/crossborder-listings-handbook/files/2024-update-10th-edition/luxembourg---continuing-obligations.pdf?rev=b37640407be14144b185e8d4109bd201&amp;sc_lang=en" TargetMode="External" Id="R0309ead3be504f97" /><Relationship Type="http://schemas.openxmlformats.org/officeDocument/2006/relationships/hyperlink" Target="https://resourcehub.bakermckenzie.com/en/-/media/crossborder-listings-handbook/files/2024-update-10th-edition/luxembourg-stock-exchange---long-form---listing-doc-and-process.pdf?rev=16853d2c227d401d9b68d266b17136ff&amp;sc_lang=en" TargetMode="External" Id="Rf667fb7928b44319" /><Relationship Type="http://schemas.openxmlformats.org/officeDocument/2006/relationships/hyperlink" Target="https://resourcehub.bakermckenzie.com/en/-/media/crossborder-listings-handbook/files/2022-update/2022-luxembourg-stock-exchange---listing-process.pdf?rev=d1dd1acd9b1440b494271a5112619c7d&amp;sc_lang=en" TargetMode="External" Id="Rdee9369ce3d14b4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