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Ireland</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Yes.</w:t>
              </w:r>
            </w:p>
            <w:p>
              <w:pPr>
                <w:pStyle w:val="BodyText"/>
              </w:pPr>
              <w:r>
                <w:t xml:space="preserve">☒  general obligation to take appropriate / reasonable technical, physical and/or organizational security measures</w:t>
              </w:r>
            </w:p>
            <w:p>
              <w:pPr>
                <w:pStyle w:val="BodyText"/>
              </w:pPr>
              <w:r>
                <w:t xml:space="preserve">☒  obligation to take specific security measures e.g., encryption</w:t>
              </w:r>
            </w:p>
            <w:p>
              <w:pPr>
                <w:pStyle w:val="BodyText"/>
              </w:pPr>
              <w:r>
                <w:t xml:space="preserve">Not a strict legal requirement, but encryption is considered by the GDPR as an appropriate technical and organizational measure. In practice, the authorities expect encryption unless specific circumstances justify no encryption.</w:t>
              </w:r>
            </w:p>
            <w:p>
              <w:pPr>
                <w:pStyle w:val="BodyText"/>
              </w:pPr>
              <w:r>
                <w:t xml:space="preserve">☒  other</w:t>
              </w:r>
            </w:p>
            <w:p>
              <w:pPr>
                <w:pStyle w:val="BodyText"/>
              </w:pPr>
              <w:r>
                <w:t xml:space="preserve">In addition, the Protected Disclosures (Amendment) Act 2022 requires data controllers to implement controls and measures to ensure the security of personal data obtained during the whistleblowing process. This includes implementing secure storage and restricting access to the data, and ensuring the reporter's identity is not disclosed either accidentally or illegally. It also calls for technical and organizational provisions such as limiting access to the data to a limited number of designated individuals, and applying encryption, anonymization or pseudonymization.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       network information security requirements (broader than telecommunications)</w:t>
              </w:r>
            </w:p>
            <w:p>
              <w:pPr>
                <w:pStyle w:val="BodyText"/>
              </w:pPr>
              <w:r>
                <w:t xml:space="preserve">☒       financial services requirements</w:t>
              </w:r>
            </w:p>
            <w:p>
              <w:pPr>
                <w:pStyle w:val="BodyText"/>
              </w:pPr>
              <w:r>
                <w:t xml:space="preserve">☒       providers of critical infrastructure</w:t>
              </w:r>
            </w:p>
            <w:p>
              <w:pPr>
                <w:pStyle w:val="BodyText"/>
              </w:pPr>
              <w:r>
                <w:t xml:space="preserve">☒</w:t>
              </w:r>
              <w:r>
                <w:t xml:space="preserve">       digital or connected (IoT) products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Data privacy</w:t>
              </w:r>
            </w:p>
            <w:p>
              <w:pPr>
                <w:pStyle w:val="BodyText"/>
              </w:pPr>
              <w:r>
                <w:t xml:space="preserve">The DPC concluded a number of inquiries over the last 12 months which considered whether the subject of the investigation had, among other considerations, complied with obligations under the GDPR to implement appropriate technical measures (including cybersecurity measures) to ensure an appropriate level of security for personal data being processed.</w:t>
              </w:r>
            </w:p>
            <w:p>
              <w:pPr>
                <w:pStyle w:val="BodyText"/>
              </w:pPr>
              <w:r>
                <w:t xml:space="preserve">☒       other</w:t>
              </w:r>
            </w:p>
            <w:p>
              <w:pPr>
                <w:pStyle w:val="BodyText"/>
              </w:pPr>
              <w:r>
                <w:t xml:space="preserve">The NCSC issued guidance on:</w:t>
              </w:r>
            </w:p>
            <w:p>
              <w:pPr>
                <w:pStyle w:val="BodyText"/>
              </w:pPr>
              <w:pPr>
                <w:pStyle w:val="ListParagraph"/>
                <w:numPr>
                  <w:ilvl w:val="0"/>
                  <w:numId w:val="13"/>
                </w:numPr>
              </w:pPr>
              <w:hyperlink w:history="true" r:id="R2837d198cbff4588">
                <w:r>
                  <w:rPr>
                    <w:rStyle w:val="Hyperlink"/>
                  </w:rPr>
                  <w:t xml:space="preserve">Guidelines on Cybersecurity for Political Organisations and Election Candidates</w:t>
                </w:r>
              </w:hyperlink>
            </w:p>
            <w:p>
              <w:pPr>
                <w:pStyle w:val="BodyText"/>
              </w:pPr>
              <w:pPr>
                <w:pStyle w:val="ListParagraph"/>
                <w:numPr>
                  <w:ilvl w:val="0"/>
                  <w:numId w:val="13"/>
                </w:numPr>
              </w:pPr>
              <w:hyperlink w:history="true" r:id="R80a4a1a9630b42b5">
                <w:r>
                  <w:rPr>
                    <w:rStyle w:val="Hyperlink"/>
                  </w:rPr>
                  <w:t xml:space="preserve">National Cyber Emergency Plan</w:t>
                </w:r>
              </w:hyperlink>
            </w:p>
            <w:p>
              <w:pPr>
                <w:pStyle w:val="BodyText"/>
              </w:pPr>
              <w:pPr>
                <w:pStyle w:val="ListParagraph"/>
                <w:numPr>
                  <w:ilvl w:val="0"/>
                  <w:numId w:val="13"/>
                </w:numPr>
              </w:pPr>
              <w:hyperlink w:history="true" r:id="R2a1a217237bd4528">
                <w:r>
                  <w:rPr>
                    <w:rStyle w:val="Hyperlink"/>
                  </w:rPr>
                  <w:t xml:space="preserve">Guidance on Denial of Service Attacks</w:t>
                </w:r>
              </w:hyperlink>
            </w:p>
            <w:p>
              <w:pPr>
                <w:pStyle w:val="BodyText"/>
              </w:pPr>
              <w:pPr>
                <w:pStyle w:val="ListParagraph"/>
                <w:numPr>
                  <w:ilvl w:val="0"/>
                  <w:numId w:val="13"/>
                </w:numPr>
              </w:pPr>
              <w:hyperlink w:history="true" r:id="R47886c54bfe649b8">
                <w:r>
                  <w:rPr>
                    <w:rStyle w:val="Hyperlink"/>
                  </w:rPr>
                  <w:t xml:space="preserve">General Election 2024 Cyber Threat Landscape</w:t>
                </w:r>
              </w:hyperlink>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Yes.</w:t>
              </w:r>
            </w:p>
            <w:p>
              <w:pPr>
                <w:pStyle w:val="BodyText"/>
              </w:pPr>
              <w:r>
                <w:t xml:space="preserve">"Personal data breach" means a breach of security leading to the accidental or unlawful destruction, loss, alteration, unauthorized disclosure of, or access to, personal data transmitted, stored or otherwise processed (Article 4(12) GDPR).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  data protection authorities</w:t>
              </w:r>
            </w:p>
            <w:p>
              <w:pPr>
                <w:pStyle w:val="BodyText"/>
              </w:pPr>
              <w:pPr>
                <w:pStyle w:val="ListParagraph"/>
                <w:numPr>
                  <w:ilvl w:val="0"/>
                  <w:numId w:val="10"/>
                </w:numPr>
              </w:pPr>
              <w:r>
                <w:t xml:space="preserve">in case of a personal data breach, unless the personal data breach is unlikely to result in a risk to the rights and freedoms of natural persons</w:t>
              </w:r>
            </w:p>
            <w:p>
              <w:pPr>
                <w:pStyle w:val="BodyText"/>
              </w:pPr>
              <w:pPr>
                <w:pStyle w:val="ListParagraph"/>
                <w:numPr>
                  <w:ilvl w:val="0"/>
                  <w:numId w:val="10"/>
                </w:numPr>
              </w:pPr>
              <w:r>
                <w:t xml:space="preserve">without undue delay and, where feasible, not later than 72 hours after having become aware of it (Article 33, GDPR).</w:t>
              </w:r>
            </w:p>
            <w:p>
              <w:pPr>
                <w:pStyle w:val="BodyText"/>
              </w:pPr>
              <w:r>
                <w:t xml:space="preserve">☒  cybersecurity authorities</w:t>
              </w:r>
            </w:p>
            <w:p>
              <w:pPr>
                <w:pStyle w:val="BodyText"/>
              </w:pPr>
              <w:r>
                <w:t xml:space="preserve">Under the NIS Regulations Operators of Essential Services and Digital Service Providers must notify CSIRT of any event having an actual adverse effect on the security of network and information systems that has a significant impact on the continuity of an essential service. Such an event </w:t>
              </w:r>
              <w:r>
                <w:rPr>
                  <w:i/>
                </w:rPr>
                <w:t xml:space="preserve">could </w:t>
              </w:r>
              <w:r>
                <w:t xml:space="preserve">include a serious personal data security breach. (See further detail on obligations under the NIS Regulations on notification below).</w:t>
              </w:r>
            </w:p>
            <w:p>
              <w:pPr>
                <w:pStyle w:val="BodyText"/>
              </w:pPr>
              <w:r>
                <w:t xml:space="preserve">☒  affected individuals</w:t>
              </w:r>
            </w:p>
            <w:p>
              <w:pPr>
                <w:pStyle w:val="BodyText"/>
              </w:pPr>
              <w:pPr>
                <w:pStyle w:val="ListParagraph"/>
                <w:numPr>
                  <w:ilvl w:val="0"/>
                  <w:numId w:val="11"/>
                </w:numPr>
              </w:pPr>
              <w:r>
                <w:t xml:space="preserve">without undue delay</w:t>
              </w:r>
            </w:p>
            <w:p>
              <w:pPr>
                <w:pStyle w:val="BodyText"/>
              </w:pPr>
              <w:pPr>
                <w:pStyle w:val="ListParagraph"/>
                <w:numPr>
                  <w:ilvl w:val="0"/>
                  <w:numId w:val="11"/>
                </w:numPr>
              </w:pPr>
              <w:r>
                <w:t xml:space="preserve">if a personal data breach is likely to result in a high risk to the rights and freedoms of natural persons, unless any of the following conditions are met:</w:t>
              </w:r>
            </w:p>
            <w:p>
              <w:pPr>
                <w:pStyle w:val="BodyText"/>
              </w:pPr>
              <w:pPr>
                <w:pStyle w:val="ListParagraph"/>
                <w:numPr>
                  <w:ilvl w:val="1"/>
                  <w:numId w:val="12"/>
                </w:numPr>
                <w:ind w:left="1560"/>
              </w:pPr>
              <w:r>
                <w:t xml:space="preserve">the controller has implemented technical and organizational protection measures and those measures were applied to the personal data affected by the personal data breach, in particular those that render the personal data unintelligible to any person who is not authorized to access it, such as encryption, or</w:t>
              </w:r>
            </w:p>
            <w:p>
              <w:pPr>
                <w:pStyle w:val="BodyText"/>
              </w:pPr>
              <w:pPr>
                <w:pStyle w:val="ListParagraph"/>
                <w:numPr>
                  <w:ilvl w:val="1"/>
                  <w:numId w:val="12"/>
                </w:numPr>
                <w:ind w:left="1560"/>
              </w:pPr>
              <w:r>
                <w:t xml:space="preserve">the controller has taken subsequent measures that ensure that the high risk to the rights and freedoms of the data subjects is no longer likely to materialize, or</w:t>
              </w:r>
            </w:p>
            <w:p>
              <w:pPr>
                <w:pStyle w:val="BodyText"/>
              </w:pPr>
              <w:pPr>
                <w:pStyle w:val="ListParagraph"/>
                <w:numPr>
                  <w:ilvl w:val="1"/>
                  <w:numId w:val="12"/>
                </w:numPr>
                <w:ind w:left="1560"/>
              </w:pPr>
              <w:r>
                <w:t xml:space="preserve">it would involve disproportionate effort. In such a case, there shall instead be a public communication or similar measure whereby the data subjects are informed in an equally effective manner (Article 34, GDPR).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   controller/ owner</w:t>
              </w:r>
            </w:p>
            <w:p>
              <w:pPr>
                <w:pStyle w:val="BodyText"/>
              </w:pPr>
              <w:pPr>
                <w:pStyle w:val="ListParagraph"/>
                <w:numPr>
                  <w:ilvl w:val="0"/>
                  <w:numId w:val="9"/>
                </w:numPr>
              </w:pPr>
              <w:r>
                <w:t xml:space="preserve">in case of a personal data breach irrespective of a risk to the rights and freedoms of the data subjects</w:t>
              </w:r>
            </w:p>
            <w:p>
              <w:pPr>
                <w:pStyle w:val="BodyText"/>
              </w:pPr>
              <w:pPr>
                <w:pStyle w:val="ListParagraph"/>
                <w:numPr>
                  <w:ilvl w:val="0"/>
                  <w:numId w:val="9"/>
                </w:numPr>
              </w:pPr>
              <w:r>
                <w:t xml:space="preserve">without undue delay after becoming aware of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Yes.</w:t>
              </w:r>
            </w:p>
            <w:p>
              <w:pPr>
                <w:pStyle w:val="BodyText"/>
              </w:pPr>
              <w:r>
                <w:t xml:space="preserve">☒        cybersecurity authorities</w:t>
              </w:r>
              <w:r>
                <w:br/>
              </w:r>
              <w:r>
                <w:t xml:space="preserve">☒         financial services requirements</w:t>
              </w:r>
              <w:r>
                <w:br/>
              </w:r>
              <w:r>
                <w:t xml:space="preserve">☒        telecommunication requirements</w:t>
              </w:r>
              <w:r>
                <w:br/>
              </w:r>
              <w:r>
                <w:t xml:space="preserve">☒        providers of critical infrastructure</w:t>
              </w:r>
            </w:p>
            <w:p>
              <w:pPr>
                <w:pStyle w:val="BodyText"/>
              </w:pPr>
              <w:r>
                <w:rPr>
                  <w:b/>
                </w:rPr>
                <w:t xml:space="preserve">Details regarding the identified data security breach notification requirements</w:t>
              </w:r>
            </w:p>
            <w:p>
              <w:pPr>
                <w:pStyle w:val="BodyText"/>
              </w:pPr>
              <w:r>
                <w:rPr>
                  <w:u w:val="single"/>
                </w:rPr>
                <w:t xml:space="preserve">Telecommunication requirements</w:t>
              </w:r>
            </w:p>
            <w:p>
              <w:pPr>
                <w:pStyle w:val="BodyText"/>
              </w:pPr>
              <w:r>
                <w:t xml:space="preserve">The breach notification requirements of the ePrivacy Regulations 2011 (S.I. 336/2011) and EU Commission Regulation (No. 611/2013) apply to providers of publicly available electronic communications networks or services (i.e., Telecoms and ISP providers). A "personal data breach" is defined as "a breach of security leading to the accidental or unlawful destruction, loss, alteration, unauthorized disclosure of, or access to, personal data transmitted, stored or otherwise processed in connection with the provision of a publicly available electronic communications service in the European Union."</w:t>
              </w:r>
            </w:p>
            <w:p>
              <w:pPr>
                <w:pStyle w:val="BodyText"/>
              </w:pPr>
              <w:r>
                <w:t xml:space="preserve">Where there has been a personal data breach, the provider has a mandatory obligation to notify (a) the DPC of the breach, and (b) an individual, where the breach is likely to adversely affect his or her personal data or privacy. An individual does not need to be notified if the provider has demonstrated to the DPC that it has implemented appropriate technological measures which render the data unintelligible to any person who is not authorized to access it.</w:t>
              </w:r>
            </w:p>
            <w:p>
              <w:pPr>
                <w:pStyle w:val="BodyText"/>
              </w:pPr>
              <w:r>
                <w:t xml:space="preserve">An initial notification of a personal data breach must be made to the DPC no later than 24 hours after detection of the breach. If the provider is unable to provide full details on the breach at this time, further details should be provided within three days of the initial notification. If after this three day period, a provider is still unable to provide the full information required by the EU Regulation on the data security breach, it will be required to submit a reasoned justification as to why the information is not available. The information which must be provided in the notification is set out in Annex I of the EU Regulation.</w:t>
              </w:r>
            </w:p>
            <w:p>
              <w:pPr>
                <w:pStyle w:val="BodyText"/>
              </w:pPr>
              <w:r>
                <w:t xml:space="preserve">Any notification to an individual adversely affected by the breach should be made "without undue delay" after detection of the personal data breach. The notification to the individual should include the information set out in Annex II of the EU Regulation.</w:t>
              </w:r>
            </w:p>
            <w:p>
              <w:pPr>
                <w:pStyle w:val="BodyText"/>
              </w:pPr>
              <w:r>
                <w:t xml:space="preserve">Failure to notify is a criminal offence, punishable on summary conviction to a Class A fine (i.e., EUR 5,000), or on indictment to a fine up to EUR 250,000 in the case of a corporate body, or up to EUR 50,000 in the case of a natural person.</w:t>
              </w:r>
            </w:p>
            <w:p>
              <w:pPr>
                <w:pStyle w:val="BodyText"/>
              </w:pPr>
              <w:r>
                <w:rPr>
                  <w:b/>
                </w:rPr>
                <w:t xml:space="preserve">Providers of critical infrastructure, financial services requirements and cybersecurity authorities</w:t>
              </w:r>
            </w:p>
            <w:p>
              <w:pPr>
                <w:pStyle w:val="BodyText"/>
              </w:pPr>
              <w:r>
                <w:t xml:space="preserve">As noted above, the NIS Regulations transposed the NIS1 Directive into Irish law. The Regulations apply to Operators of Essential Services (OESs) (i.e. critical infrastructure operators, which includes certain financial service providers) and Digital Service Providers (DSPs). They impose two primary obligations on OESs and DSPs: (a) to comply with relevant security requirements and (b) to notify relevant incidents to CSIRT.</w:t>
              </w:r>
            </w:p>
            <w:p>
              <w:pPr>
                <w:pStyle w:val="BodyText"/>
              </w:pPr>
              <w:r>
                <w:t xml:space="preserve">A reportable incident is any incident which has a significant impact on the continuity of an essential service which an OES provides, or on the provision of a digital service that a DSP provides, within the EU. The incident notification must be made within 72 hours of the OES or DSP becoming aware of the incident. After consulting the relevant OES or DSP in relation to an incident, the CSIRT may inform the public about the incident or may require a DSP, where applicable, to inform the public of the incident.</w:t>
              </w:r>
            </w:p>
            <w:p>
              <w:pPr>
                <w:pStyle w:val="BodyText"/>
              </w:pPr>
              <w:r>
                <w:t xml:space="preserve">Failure to notify the CSIRT of a reportable incident is an offence, punishable on summary conviction to a Class A fine (EUR 5,000) or on conviction on indictment to a fine not exceeding EUR 50,000 in the case of an individual, and EUR 500,000 in the case of a body corporate.</w:t>
              </w:r>
            </w:p>
            <w:p>
              <w:pPr>
                <w:pStyle w:val="BodyText"/>
              </w:pPr>
              <w:r>
                <w:t xml:space="preserve">The requirements of the NIS2 Directive have not yet been transposed into Irish law however we expect this transposition will be completed in 2025. An overview of the NIS2 Directive is provided in the EU Chapter.</w:t>
              </w:r>
            </w:p>
            <w:p>
              <w:pPr>
                <w:pStyle w:val="BodyText"/>
              </w:pPr>
              <w:r>
                <w:t xml:space="preserve">The EU’s Digital Operational Resilience Act Regulation (EU) 2022/2554 (</w:t>
              </w:r>
              <w:r>
                <w:rPr>
                  <w:b/>
                </w:rPr>
                <w:t xml:space="preserve">DORA</w:t>
              </w:r>
              <w:r>
                <w:t xml:space="preserve">), as well as Directive (EU) 2015/2366 on payment services in the internal market, the revised Payment Services Directive (“</w:t>
              </w:r>
              <w:r>
                <w:rPr>
                  <w:b/>
                </w:rPr>
                <w:t xml:space="preserve">PSD2</w:t>
              </w:r>
              <w:r>
                <w:t xml:space="preserve">”), impose specific cyber resilience and reporting obligations on in-scope organizations in the financial services sector.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ncsc.gov.ie/pdfs/NCSC_Cyber_Security_Political_Orgs_Candidates.pdf" TargetMode="External" Id="R2837d198cbff4588" /><Relationship Type="http://schemas.openxmlformats.org/officeDocument/2006/relationships/hyperlink" Target="https://www.ncsc.gov.ie/pdfs/National_Cyber_Emergency_Plan.pdf" TargetMode="External" Id="R80a4a1a9630b42b5" /><Relationship Type="http://schemas.openxmlformats.org/officeDocument/2006/relationships/hyperlink" Target="https://www.ncsc.gov.ie/pdfs/NCSC_DoS_Guidance.pdf" TargetMode="External" Id="R2a1a217237bd4528" /><Relationship Type="http://schemas.openxmlformats.org/officeDocument/2006/relationships/hyperlink" Target="https://www.ncsc.gov.ie/pdfs/Election_Cyber_Threat_Landscape2024.pdf" TargetMode="External" Id="R47886c54bfe649b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