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Austria</w:t>
      </w:r>
      <w:r w:rsidR="00480329"/>
    </w:p>
    <w:p w:rsidRPr="00BC7873" w:rsidR="00BC7873" w:rsidP="00D354EF" w:rsidRDefault="00051AB4" w14:paraId="2476CC56" w14:textId="2FB25FA9">
      <w:pPr>
        <w:pStyle w:val="Title"/>
      </w:pPr>
      <w:r w:rsidRPr="00BC7873">
        <w:t>Delisting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Delisting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t xml:space="preserve">Public companies listed in the regulated market segment (</w:t>
              </w:r>
              <w:r>
                <w:rPr>
                  <w:i/>
                </w:rPr>
                <w:t xml:space="preserve">Amtlicher Handel</w:t>
              </w:r>
              <w:r>
                <w:t xml:space="preserve">) are usually taken private by a combination of a public takeover offer (sometimes with a minimum acceptance condition at 90%) followed by a squeeze-out, as described above. Further, for scenarios where no shareholder holds more than 90% of the shares, a new delisting procedure was enacted by the Amendment of the Austrian Stock Exchange Act 2018, requiring the following:</w:t>
              </w:r>
            </w:p>
            <w:p>
              <w:pPr>
                <w:pStyle w:val="BodyText"/>
              </w:pPr>
              <w:pPr>
                <w:pStyle w:val="ListParagraph"/>
                <w:numPr>
                  <w:ilvl w:val="0"/>
                  <w:numId w:val="9"/>
                </w:numPr>
              </w:pPr>
              <w:r>
                <w:t xml:space="preserve">The public company's shares must have been listed for a period of at least three years.</w:t>
              </w:r>
            </w:p>
            <w:p>
              <w:pPr>
                <w:pStyle w:val="BodyText"/>
              </w:pPr>
              <w:pPr>
                <w:pStyle w:val="ListParagraph"/>
                <w:numPr>
                  <w:ilvl w:val="0"/>
                  <w:numId w:val="9"/>
                </w:numPr>
              </w:pPr>
              <w:r>
                <w:t xml:space="preserve">The approval of the general meeting to withdraw the public company from the regulated market segment must be given with a supermajority of 75% of the voting rights, or a respective request of shareholders jointly holding 75% of the share capital must be filed.</w:t>
              </w:r>
            </w:p>
            <w:p>
              <w:pPr>
                <w:pStyle w:val="BodyText"/>
              </w:pPr>
              <w:pPr>
                <w:pStyle w:val="ListParagraph"/>
                <w:numPr>
                  <w:ilvl w:val="0"/>
                  <w:numId w:val="9"/>
                </w:numPr>
              </w:pPr>
              <w:r>
                <w:t xml:space="preserve">Protection of the minority shareholders may not be jeopardized. This will be deemed to be the case if (i) a public takeover offer is launched to which specific (additional) minimum price rules apply, or (ii) after its delisting from the Vienna Stock Exchange, the public company remains listed on a regulated market of an EEA member state (in which case the minimum listing period above is reduced to one year).</w:t>
              </w:r>
            </w:p>
            <w:p>
              <w:pPr>
                <w:pStyle w:val="BodyText"/>
              </w:pPr>
              <w:r>
                <w:t xml:space="preserve">The requirement to launch a public takeover offer also applies to cross-border and domestic mergers, to de-mergers and other restructurings which result in a delisting of a public company.</w:t>
              </w:r>
            </w:p>
            <w:p>
              <w:pPr>
                <w:pStyle w:val="BodyText"/>
              </w:pPr>
              <w:r>
                <w:t xml:space="preserve">For other listed companies, a voluntary delisting can be requested by the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