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France</w:t>
      </w:r>
      <w:r w:rsidR="00480329"/>
    </w:p>
    <w:p w:rsidRPr="00BC7873" w:rsidR="00BC7873" w:rsidP="00D354EF" w:rsidRDefault="00051AB4" w14:paraId="2476CC56" w14:textId="2FB25FA9">
      <w:pPr>
        <w:pStyle w:val="Title"/>
      </w:pPr>
      <w:r w:rsidRPr="00BC7873">
        <w:t>7. Endnotes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sz w:val="18"/>
                  <w:vertAlign w:val="superscript"/>
                </w:rPr>
                <w:t xml:space="preserve">[1]</w:t>
              </w:r>
              <w:r>
                <w:rPr>
                  <w:color w:val="000000"/>
                </w:rPr>
                <w:t xml:space="preserve"> </w:t>
              </w:r>
              <w:r>
                <w:t xml:space="preserve">   The case law specified that such provisions applied to battery, violence, etc. whatever the consequences on the matrimonial situation of the spouses (Supreme Court, criminal section, 9 April 1825).</w:t>
              </w:r>
            </w:p>
            <w:p>
              <w:pPr>
                <w:pStyle w:val="BodyText"/>
              </w:pPr>
              <w:r>
                <w:rPr>
                  <w:color w:val="000000"/>
                  <w:sz w:val="18"/>
                  <w:vertAlign w:val="superscript"/>
                </w:rPr>
                <w:t xml:space="preserve">[2]</w:t>
              </w:r>
              <w:r>
                <w:rPr>
                  <w:color w:val="000000"/>
                  <w:sz w:val="18"/>
                </w:rPr>
                <w:t xml:space="preserve"> </w:t>
              </w:r>
              <w:r>
                <w:t xml:space="preserve">   Viriot-Barrial 2006.</w:t>
              </w:r>
            </w:p>
            <w:p>
              <w:pPr>
                <w:pStyle w:val="BodyText"/>
              </w:pPr>
              <w:r>
                <w:rPr>
                  <w:color w:val="000000"/>
                  <w:sz w:val="18"/>
                  <w:vertAlign w:val="superscript"/>
                </w:rPr>
                <w:t xml:space="preserve">[3]</w:t>
              </w:r>
              <w:r>
                <w:t xml:space="preserve">    </w:t>
              </w:r>
              <w:hyperlink w:history="true" r:id="R692d08e4576d4a52">
                <w:r>
                  <w:rPr>
                    <w:rStyle w:val="Hyperlink"/>
                  </w:rPr>
                  <w:t xml:space="preserve">https://www.rfi.fr/en/france/20190903-domestic-violence-forum-starts-france-after-101-death-2019</w:t>
                </w:r>
              </w:hyperlink>
            </w:p>
            <w:p>
              <w:pPr>
                <w:pStyle w:val="BodyText"/>
              </w:pPr>
              <w:r>
                <w:rPr>
                  <w:color w:val="000000"/>
                  <w:sz w:val="18"/>
                  <w:vertAlign w:val="superscript"/>
                </w:rPr>
                <w:t xml:space="preserve">[4]</w:t>
              </w:r>
              <w:r>
                <w:rPr>
                  <w:color w:val="000000"/>
                  <w:sz w:val="18"/>
                </w:rPr>
                <w:t xml:space="preserve"> </w:t>
              </w:r>
              <w:r>
                <w:t xml:space="preserve">   </w:t>
              </w:r>
              <w:hyperlink w:history="true" r:id="R73e0fb4bc620480b">
                <w:r>
                  <w:rPr>
                    <w:rStyle w:val="Hyperlink"/>
                  </w:rPr>
                  <w:t xml:space="preserve">https://www.huffpost.com/entry/france-femicide-violence-against-women_n_5d792dc8e4b0fc715340a8dc</w:t>
                </w:r>
              </w:hyperlink>
            </w:p>
            <w:p>
              <w:pPr>
                <w:pStyle w:val="BodyText"/>
              </w:pPr>
              <w:r>
                <w:rPr>
                  <w:color w:val="000000"/>
                  <w:sz w:val="18"/>
                  <w:vertAlign w:val="superscript"/>
                </w:rPr>
                <w:t xml:space="preserve">[5]</w:t>
              </w:r>
              <w:r>
                <w:t xml:space="preserve">    </w:t>
              </w:r>
              <w:hyperlink w:history="true" r:id="R1e8e33c940fe4ae9">
                <w:r>
                  <w:rPr>
                    <w:rStyle w:val="Hyperlink"/>
                  </w:rPr>
                  <w:t xml:space="preserve">https://www.gouvernement.fr/sites/default/files/document/document/2019/11/dossier_de_presse_-_cloture_du_grenelle_contre_les_violences_conjugales_-_25.11.2019.pdf</w:t>
                </w:r>
              </w:hyperlink>
            </w:p>
            <w:p>
              <w:pPr>
                <w:pStyle w:val="BodyText"/>
              </w:pPr>
              <w:r>
                <w:rPr>
                  <w:color w:val="000000"/>
                  <w:sz w:val="18"/>
                  <w:vertAlign w:val="superscript"/>
                </w:rPr>
                <w:t xml:space="preserve">[6]</w:t>
              </w:r>
              <w:r>
                <w:rPr>
                  <w:color w:val="000000"/>
                  <w:sz w:val="18"/>
                </w:rPr>
                <w:t xml:space="preserve"> </w:t>
              </w:r>
              <w:r>
                <w:t xml:space="preserve">   </w:t>
              </w:r>
              <w:hyperlink w:history="true" r:id="R73b09df6cff54502">
                <w:r>
                  <w:rPr>
                    <w:rStyle w:val="Hyperlink"/>
                  </w:rPr>
                  <w:t xml:space="preserve">https://www.legifrance.gouv.fr/eli/loi/2019/12/28/JUSX1926483L/jo/texte</w:t>
                </w:r>
              </w:hyperlink>
            </w:p>
            <w:p>
              <w:pPr>
                <w:pStyle w:val="BodyText"/>
              </w:pPr>
              <w:r>
                <w:rPr>
                  <w:color w:val="000000"/>
                  <w:sz w:val="18"/>
                  <w:vertAlign w:val="superscript"/>
                </w:rPr>
                <w:t xml:space="preserve">[7]</w:t>
              </w:r>
              <w:r>
                <w:rPr>
                  <w:color w:val="000000"/>
                  <w:sz w:val="18"/>
                </w:rPr>
                <w:t xml:space="preserve"> </w:t>
              </w:r>
              <w:r>
                <w:t xml:space="preserve">   </w:t>
              </w:r>
              <w:hyperlink w:history="true" r:id="R18cc11941c5d44ff">
                <w:r>
                  <w:rPr>
                    <w:rStyle w:val="Hyperlink"/>
                  </w:rPr>
                  <w:t xml:space="preserve">https://www.legifrance.gouv.fr/affichTexte.do?cidTexte=JORFTEXT000042176652&amp;categorieLien=id</w:t>
                </w:r>
              </w:hyperlink>
            </w:p>
            <w:p>
              <w:pPr>
                <w:pStyle w:val="BodyText"/>
              </w:pPr>
              <w:r>
                <w:rPr>
                  <w:color w:val="000000"/>
                  <w:sz w:val="18"/>
                  <w:vertAlign w:val="superscript"/>
                </w:rPr>
                <w:t xml:space="preserve">[8]</w:t>
              </w:r>
              <w:r>
                <w:rPr>
                  <w:color w:val="000000"/>
                  <w:sz w:val="18"/>
                </w:rPr>
                <w:t xml:space="preserve"> </w:t>
              </w:r>
              <w:r>
                <w:t xml:space="preserve">   </w:t>
              </w:r>
              <w:r>
                <w:rPr>
                  <w:i/>
                </w:rPr>
                <w:t xml:space="preserve">Pacte Civil de Solidarité</w:t>
              </w:r>
              <w:r>
                <w:t xml:space="preserve">.</w:t>
              </w:r>
            </w:p>
            <w:p>
              <w:pPr>
                <w:pStyle w:val="BodyText"/>
              </w:pPr>
              <w:r>
                <w:rPr>
                  <w:color w:val="000000"/>
                  <w:sz w:val="18"/>
                  <w:vertAlign w:val="superscript"/>
                </w:rPr>
                <w:t xml:space="preserve">[9]</w:t>
              </w:r>
              <w:r>
                <w:rPr>
                  <w:sz w:val="18"/>
                  <w:vertAlign w:val="superscript"/>
                </w:rPr>
                <w:t xml:space="preserve"> </w:t>
              </w:r>
              <w:r>
                <w:t xml:space="preserve">   Pursuant to law 2018-703 of 3 August 2018 on strengthening the fight against sexual and gender-based violence.</w:t>
              </w:r>
            </w:p>
            <w:p>
              <w:pPr>
                <w:pStyle w:val="BodyText"/>
              </w:pPr>
              <w:r>
                <w:rPr>
                  <w:color w:val="000000"/>
                  <w:sz w:val="18"/>
                  <w:vertAlign w:val="superscript"/>
                </w:rPr>
                <w:t xml:space="preserve">[10]</w:t>
              </w:r>
              <w:r>
                <w:rPr>
                  <w:color w:val="000000"/>
                  <w:sz w:val="18"/>
                </w:rPr>
                <w:t xml:space="preserve"> </w:t>
              </w:r>
              <w:r>
                <w:t xml:space="preserve">   This extension aims in particular at repressing "cyber-harassment," it being further noted that the use of a communication service to the public online or through a digital or electronic medium is also an aggravating circumstance of sexual harassment.</w:t>
              </w:r>
            </w:p>
            <w:p>
              <w:pPr>
                <w:pStyle w:val="BodyText"/>
              </w:pPr>
              <w:r>
                <w:rPr>
                  <w:color w:val="000000"/>
                  <w:sz w:val="18"/>
                  <w:vertAlign w:val="superscript"/>
                </w:rPr>
                <w:t xml:space="preserve">[11]</w:t>
              </w:r>
              <w:r>
                <w:rPr>
                  <w:sz w:val="18"/>
                  <w:vertAlign w:val="superscript"/>
                </w:rPr>
                <w:t xml:space="preserve"> </w:t>
              </w:r>
              <w:r>
                <w:t xml:space="preserve">   In particular: Law of 15 June 2000 strengthening the presumption of innocence and the rights of victims; Law of 9 March 2004 on evolution of court decisions to developments in crime; Law of 15 November 2001 on security of individuals; Law of 9 September 2002 on guidance and programming for justice, several texts seek to regulate and strengthen the rights of victims.</w:t>
              </w:r>
            </w:p>
            <w:p>
              <w:pPr>
                <w:pStyle w:val="BodyText"/>
              </w:pPr>
              <w:r>
                <w:rPr>
                  <w:color w:val="000000"/>
                  <w:sz w:val="18"/>
                  <w:vertAlign w:val="superscript"/>
                </w:rPr>
                <w:t xml:space="preserve">[12]</w:t>
              </w:r>
              <w:hyperlink w:history="true" r:id="R4d6493b9d22844e3">
                <w:r>
                  <w:rPr>
                    <w:rStyle w:val="Hyperlink"/>
                  </w:rPr>
                  <w:t xml:space="preserve">https://www.legifrance.gouv.fr/affichTexte.do?cidTexte=JORFTEXT000000422042&amp;categorieLien=id#:~:text=contre%20les%20mineurs-,LOI%20n%C2%B0%202006%2D399%20du%204%20avril%202006%20renfor%C3%A7ant,ou%20commises%20contre%20les%20mineurs</w:t>
                </w:r>
              </w:hyperlink>
            </w:p>
            <w:p>
              <w:pPr>
                <w:pStyle w:val="BodyText"/>
              </w:pPr>
              <w:r>
                <w:rPr>
                  <w:color w:val="000000"/>
                  <w:sz w:val="18"/>
                  <w:vertAlign w:val="superscript"/>
                </w:rPr>
                <w:t xml:space="preserve">[13]</w:t>
              </w:r>
              <w:r>
                <w:rPr>
                  <w:sz w:val="18"/>
                  <w:vertAlign w:val="superscript"/>
                </w:rPr>
                <w:t xml:space="preserve"> </w:t>
              </w:r>
              <w:r>
                <w:t xml:space="preserve">    </w:t>
              </w:r>
              <w:r>
                <w:t xml:space="preserve">The eviction of the abusive spouse (created pursuant to the Law 2004-439 of 26 May 2004) had already been facilitated at various stages of a repressive judicial proceeding by providing a health, social or psychological care procedure.</w:t>
              </w:r>
            </w:p>
            <w:p>
              <w:pPr>
                <w:pStyle w:val="BodyText"/>
              </w:pPr>
              <w:r>
                <w:rPr>
                  <w:color w:val="000000"/>
                  <w:sz w:val="18"/>
                  <w:vertAlign w:val="superscript"/>
                </w:rPr>
                <w:t xml:space="preserve">[14]</w:t>
              </w:r>
              <w:r>
                <w:t xml:space="preserve">    </w:t>
              </w:r>
              <w:hyperlink w:history="true" r:id="Racc3567fb9d3454a">
                <w:r>
                  <w:rPr>
                    <w:rStyle w:val="Hyperlink"/>
                  </w:rPr>
                  <w:t xml:space="preserve">https://www.legifrance.gouv.fr/affichTexte.do?cidTexte=JORFTEXT000029330832&amp;categorieLien=id</w:t>
                </w:r>
              </w:hyperlink>
            </w:p>
            <w:p>
              <w:pPr>
                <w:pStyle w:val="BodyText"/>
              </w:pPr>
              <w:r>
                <w:rPr>
                  <w:color w:val="000000"/>
                  <w:sz w:val="18"/>
                  <w:vertAlign w:val="superscript"/>
                </w:rPr>
                <w:t xml:space="preserve">[15]</w:t>
              </w:r>
              <w:r>
                <w:t xml:space="preserve"> Such as setting a principle of maintaining as a priority the victim in his/her household, reducing delays to deliver protective orders, reinforcing verification of the spouse's consent to his/her marriage, improving repatriation procedures for spouses held abroad against their will for more than three years, etc.</w:t>
              </w:r>
            </w:p>
            <w:p>
              <w:pPr>
                <w:pStyle w:val="BodyText"/>
              </w:pPr>
              <w:r>
                <w:rPr>
                  <w:color w:val="000000"/>
                  <w:sz w:val="18"/>
                  <w:vertAlign w:val="superscript"/>
                </w:rPr>
                <w:t xml:space="preserve">[16]</w:t>
              </w:r>
              <w:r>
                <w:t xml:space="preserve">    </w:t>
              </w:r>
              <w:hyperlink w:history="true" r:id="R0f351647049f45ce">
                <w:r>
                  <w:rPr>
                    <w:rStyle w:val="Hyperlink"/>
                  </w:rPr>
                  <w:t xml:space="preserve">https://www.legifrance.gouv.fr/affichTexte.do?cidTexte=JORFTEXT000030949483&amp;categorieLien=id</w:t>
                </w:r>
              </w:hyperlink>
            </w:p>
            <w:p>
              <w:pPr>
                <w:pStyle w:val="BodyText"/>
              </w:pPr>
              <w:r>
                <w:rPr>
                  <w:color w:val="000000"/>
                  <w:sz w:val="18"/>
                  <w:vertAlign w:val="superscript"/>
                </w:rPr>
                <w:t xml:space="preserve">[17]</w:t>
              </w:r>
              <w:r>
                <w:t xml:space="preserve">    Protective order specifically tailored for women victims of domestic violence was created pursuant to a law 2010-769 of 9 July 2010 (adopted unanimously by parliament and which opened a new chapter in the fight against violence on women); </w:t>
              </w:r>
              <w:hyperlink w:history="true" r:id="R93981b26d57f45cc">
                <w:r>
                  <w:rPr>
                    <w:rStyle w:val="Hyperlink"/>
                  </w:rPr>
                  <w:t xml:space="preserve">https://www.legifrance.gouv.fr/affichTexte.do?cidTexte=JORFTEXT000031045937&amp;categorieLien=id</w:t>
                </w:r>
              </w:hyperlink>
            </w:p>
            <w:p>
              <w:pPr>
                <w:pStyle w:val="BodyText"/>
              </w:pPr>
              <w:r>
                <w:rPr>
                  <w:color w:val="000000"/>
                  <w:sz w:val="18"/>
                  <w:vertAlign w:val="superscript"/>
                </w:rPr>
                <w:t xml:space="preserve">[18]</w:t>
              </w:r>
              <w:r>
                <w:rPr>
                  <w:color w:val="000000"/>
                  <w:sz w:val="14"/>
                </w:rPr>
                <w:t xml:space="preserve"> </w:t>
              </w:r>
              <w:r>
                <w:t xml:space="preserve">   As a transposition of the EU Directive n° 2012/29/EC dated 25 October 2012.</w:t>
              </w:r>
            </w:p>
            <w:p>
              <w:pPr>
                <w:pStyle w:val="BodyText"/>
              </w:pPr>
              <w:r>
                <w:rPr>
                  <w:color w:val="000000"/>
                  <w:sz w:val="18"/>
                  <w:vertAlign w:val="superscript"/>
                </w:rPr>
                <w:t xml:space="preserve">[19]</w:t>
              </w:r>
              <w:r>
                <w:t xml:space="preserve">    </w:t>
              </w:r>
              <w:hyperlink w:history="true" r:id="R5e44534ff23741a8">
                <w:r>
                  <w:rPr>
                    <w:rStyle w:val="Hyperlink"/>
                  </w:rPr>
                  <w:t xml:space="preserve">https://www.legifrance.gouv.fr/affichTexte.do?cidTexte=JORFTEXT000032164264</w:t>
                </w:r>
              </w:hyperlink>
            </w:p>
            <w:p>
              <w:pPr>
                <w:pStyle w:val="BodyText"/>
              </w:pPr>
              <w:r>
                <w:rPr>
                  <w:color w:val="000000"/>
                  <w:sz w:val="18"/>
                  <w:vertAlign w:val="superscript"/>
                </w:rPr>
                <w:t xml:space="preserve">[20]</w:t>
              </w:r>
              <w:r>
                <w:t xml:space="preserve">    </w:t>
              </w:r>
              <w:hyperlink w:history="true" r:id="R01a3e78edfb441a2">
                <w:r>
                  <w:rPr>
                    <w:rStyle w:val="Hyperlink"/>
                  </w:rPr>
                  <w:t xml:space="preserve">https://www.legifrance.gouv.fr/affichTexte.do?cidTexte=JORFTEXT000037284450&amp;categorieLien=id</w:t>
                </w:r>
              </w:hyperlink>
            </w:p>
            <w:p>
              <w:pPr>
                <w:pStyle w:val="BodyText"/>
              </w:pPr>
              <w:r>
                <w:rPr>
                  <w:color w:val="000000"/>
                  <w:sz w:val="18"/>
                  <w:vertAlign w:val="superscript"/>
                </w:rPr>
                <w:t xml:space="preserve">[21]</w:t>
              </w:r>
              <w:r>
                <w:rPr>
                  <w:color w:val="000000"/>
                  <w:sz w:val="14"/>
                </w:rPr>
                <w:t xml:space="preserve"> </w:t>
              </w:r>
              <w:r>
                <w:t xml:space="preserve">   </w:t>
              </w:r>
              <w:hyperlink w:history="true" r:id="R83b8dffcc279443b">
                <w:r>
                  <w:rPr>
                    <w:rStyle w:val="Hyperlink"/>
                  </w:rPr>
                  <w:t xml:space="preserve">https://www.legifrance.gouv.fr/affichTexte.do?cidTexte=JORFTEXT000039684243&amp;categorieLien=id</w:t>
                </w:r>
              </w:hyperlink>
              <w:r>
                <w:rPr>
                  <w:color w:val="002856"/>
                </w:rPr>
                <w:t xml:space="preserve"> </w:t>
              </w:r>
            </w:p>
            <w:p>
              <w:pPr>
                <w:pStyle w:val="BodyText"/>
              </w:pPr>
              <w:r>
                <w:rPr>
                  <w:color w:val="000000"/>
                  <w:sz w:val="18"/>
                  <w:vertAlign w:val="superscript"/>
                </w:rPr>
                <w:t xml:space="preserve">[22]</w:t>
              </w:r>
              <w:r>
                <w:t xml:space="preserve">    </w:t>
              </w:r>
              <w:hyperlink w:history="true" r:id="R2c57487543824ac2">
                <w:r>
                  <w:rPr>
                    <w:rStyle w:val="Hyperlink"/>
                  </w:rPr>
                  <w:t xml:space="preserve">https://www.legifrance.gouv.fr/affichTexte.do?cidTexte=JORFTEXT000042176652&amp;categorieLien=id</w:t>
                </w:r>
              </w:hyperlink>
            </w:p>
            <w:p>
              <w:pPr>
                <w:pStyle w:val="BodyText"/>
              </w:pPr>
              <w:r>
                <w:rPr>
                  <w:color w:val="000000"/>
                  <w:sz w:val="18"/>
                  <w:vertAlign w:val="superscript"/>
                </w:rPr>
                <w:t xml:space="preserve">[23]</w:t>
              </w:r>
              <w:r>
                <w:rPr>
                  <w:color w:val="000000"/>
                  <w:sz w:val="18"/>
                </w:rPr>
                <w:t xml:space="preserve"> </w:t>
              </w:r>
              <w:r>
                <w:t xml:space="preserve">   Supreme Court, Criminal section, 11 June 1992.</w:t>
              </w:r>
            </w:p>
            <w:p>
              <w:pPr>
                <w:pStyle w:val="BodyText"/>
              </w:pPr>
              <w:r>
                <w:rPr>
                  <w:color w:val="000000"/>
                  <w:sz w:val="18"/>
                  <w:vertAlign w:val="superscript"/>
                </w:rPr>
                <w:t xml:space="preserve">[24]</w:t>
              </w:r>
              <w:r>
                <w:t xml:space="preserve">    Supreme Court, Criminal section, 2 September 2005; Supreme Court, Criminal section, 18 March 2008.</w:t>
              </w:r>
            </w:p>
            <w:p>
              <w:pPr>
                <w:pStyle w:val="BodyText"/>
              </w:pPr>
              <w:r>
                <w:rPr>
                  <w:color w:val="000000"/>
                  <w:sz w:val="18"/>
                  <w:vertAlign w:val="superscript"/>
                </w:rPr>
                <w:t xml:space="preserve">[25]</w:t>
              </w:r>
              <w:r>
                <w:t xml:space="preserve">    Supreme Court, Criminal section, 2 June 2015.</w:t>
              </w:r>
            </w:p>
            <w:p>
              <w:pPr>
                <w:pStyle w:val="BodyText"/>
              </w:pPr>
              <w:r>
                <w:rPr>
                  <w:color w:val="000000"/>
                  <w:sz w:val="18"/>
                  <w:vertAlign w:val="superscript"/>
                </w:rPr>
                <w:t xml:space="preserve">[26]</w:t>
              </w:r>
              <w:r>
                <w:t xml:space="preserve">    Supreme Court, 1st civil section, 5 October 2016.</w:t>
              </w:r>
            </w:p>
            <w:p>
              <w:pPr>
                <w:pStyle w:val="BodyText"/>
              </w:pPr>
              <w:r>
                <w:rPr>
                  <w:color w:val="000000"/>
                  <w:sz w:val="18"/>
                  <w:vertAlign w:val="superscript"/>
                </w:rPr>
                <w:t xml:space="preserve">[27] </w:t>
              </w:r>
              <w:r>
                <w:t xml:space="preserve">   The act committed by one of the spouses of restraining the financial autonomy of the other partner/spouse in order to exercise a domination/control over the latter.</w:t>
              </w:r>
            </w:p>
            <w:p>
              <w:pPr>
                <w:pStyle w:val="BodyText"/>
              </w:pPr>
              <w:r>
                <w:rPr>
                  <w:color w:val="000000"/>
                  <w:sz w:val="18"/>
                  <w:vertAlign w:val="superscript"/>
                </w:rPr>
                <w:t xml:space="preserve">[28]</w:t>
              </w:r>
              <w:r>
                <w:t xml:space="preserve">    Article 515-9 and </w:t>
              </w:r>
              <w:r>
                <w:rPr>
                  <w:i/>
                </w:rPr>
                <w:t xml:space="preserve">seq</w:t>
              </w:r>
              <w:r>
                <w:t xml:space="preserve">. of the French Civil Code.</w:t>
              </w:r>
            </w:p>
            <w:p>
              <w:pPr>
                <w:pStyle w:val="BodyText"/>
              </w:pPr>
              <w:r>
                <w:rPr>
                  <w:color w:val="000000"/>
                  <w:sz w:val="18"/>
                  <w:vertAlign w:val="superscript"/>
                </w:rPr>
                <w:t xml:space="preserve">[29]</w:t>
              </w:r>
              <w:r>
                <w:t xml:space="preserve">    Article 515-11 of the French Civil Code.</w:t>
              </w:r>
            </w:p>
            <w:p>
              <w:pPr>
                <w:pStyle w:val="BodyText"/>
              </w:pPr>
              <w:r>
                <w:rPr>
                  <w:color w:val="000000"/>
                  <w:sz w:val="18"/>
                  <w:vertAlign w:val="superscript"/>
                </w:rPr>
                <w:t xml:space="preserve">[30]</w:t>
              </w:r>
              <w:r>
                <w:rPr>
                  <w:color w:val="000000"/>
                  <w:sz w:val="18"/>
                </w:rPr>
                <w:t xml:space="preserve"> </w:t>
              </w:r>
              <w:r>
                <w:t xml:space="preserve">   Article 9 of the Grenelle Law.</w:t>
              </w:r>
            </w:p>
            <w:p>
              <w:pPr>
                <w:pStyle w:val="BodyText"/>
              </w:pPr>
              <w:r>
                <w:rPr>
                  <w:color w:val="000000"/>
                  <w:sz w:val="18"/>
                  <w:vertAlign w:val="superscript"/>
                </w:rPr>
                <w:t xml:space="preserve">[31]</w:t>
              </w:r>
              <w:r>
                <w:rPr>
                  <w:sz w:val="18"/>
                  <w:vertAlign w:val="superscript"/>
                </w:rPr>
                <w:t xml:space="preserve"> </w:t>
              </w:r>
              <w:r>
                <w:t xml:space="preserve">   In such case, the seeking of interim protection measures as described in the previous section appears relevant to prevent the intimidation of the victim, which could hinder the pending criminal proceeding.</w:t>
              </w:r>
            </w:p>
            <w:p>
              <w:pPr>
                <w:pStyle w:val="BodyText"/>
              </w:pPr>
              <w:r>
                <w:rPr>
                  <w:color w:val="000000"/>
                  <w:sz w:val="18"/>
                  <w:vertAlign w:val="superscript"/>
                </w:rPr>
                <w:t xml:space="preserve">[32]</w:t>
              </w:r>
              <w:r>
                <w:t xml:space="preserve"> </w:t>
              </w:r>
              <w:r>
                <w:t xml:space="preserve">   Maximum sanction that may be imposed and excluding the damages that the victim would be entitled to seek.</w:t>
              </w:r>
            </w:p>
            <w:p>
              <w:pPr>
                <w:pStyle w:val="BodyText"/>
              </w:pPr>
              <w:r>
                <w:rPr>
                  <w:color w:val="000000"/>
                  <w:sz w:val="18"/>
                  <w:vertAlign w:val="superscript"/>
                </w:rPr>
                <w:t xml:space="preserve">[33]</w:t>
              </w:r>
              <w:r>
                <w:rPr>
                  <w:color w:val="000000"/>
                  <w:sz w:val="18"/>
                </w:rPr>
                <w:t xml:space="preserve"> </w:t>
              </w:r>
              <w:r>
                <w:t xml:space="preserve">   Civil solidarity partnership.</w:t>
              </w:r>
            </w:p>
            <w:p>
              <w:pPr>
                <w:pStyle w:val="BodyText"/>
              </w:pPr>
              <w:r>
                <w:rPr>
                  <w:color w:val="000000"/>
                  <w:sz w:val="18"/>
                  <w:vertAlign w:val="superscript"/>
                </w:rPr>
                <w:t xml:space="preserve">[34]</w:t>
              </w:r>
              <w:r>
                <w:t xml:space="preserve">    Articles 222-14 et seq of the Criminal Code and article 515-9 et seq of the Civil Code.</w:t>
              </w:r>
            </w:p>
            <w:p>
              <w:pPr>
                <w:pStyle w:val="BodyText"/>
              </w:pPr>
              <w:r>
                <w:rPr>
                  <w:color w:val="000000"/>
                  <w:sz w:val="18"/>
                  <w:vertAlign w:val="superscript"/>
                </w:rPr>
                <w:t xml:space="preserve">[35]</w:t>
              </w:r>
              <w:r>
                <w:t xml:space="preserve"> </w:t>
              </w:r>
              <w:r>
                <w:t xml:space="preserve">   Article 515-9 of the Civil Code.</w:t>
              </w:r>
            </w:p>
            <w:p>
              <w:pPr>
                <w:pStyle w:val="BodyText"/>
              </w:pPr>
              <w:r>
                <w:rPr>
                  <w:color w:val="000000"/>
                  <w:sz w:val="18"/>
                  <w:vertAlign w:val="superscript"/>
                </w:rPr>
                <w:t xml:space="preserve">[36]</w:t>
              </w:r>
              <w:r>
                <w:rPr>
                  <w:color w:val="000000"/>
                  <w:sz w:val="18"/>
                </w:rPr>
                <w:t xml:space="preserve"> </w:t>
              </w:r>
              <w:r>
                <w:t xml:space="preserve">   Article 515-8 of the Civil Code.</w:t>
              </w:r>
            </w:p>
            <w:p>
              <w:pPr>
                <w:pStyle w:val="BodyText"/>
              </w:pPr>
              <w:r>
                <w:rPr>
                  <w:color w:val="000000"/>
                  <w:sz w:val="18"/>
                  <w:vertAlign w:val="superscript"/>
                </w:rPr>
                <w:t xml:space="preserve">[37]</w:t>
              </w:r>
              <w:r>
                <w:t xml:space="preserve"> </w:t>
              </w:r>
              <w:r>
                <w:t xml:space="preserve">   The concept of "victim" is not expressly defined in the French Criminal Code/Criminal Procedure Code but is generally referred to in such codes as "civil party," "plaintiff" or the "other" (</w:t>
              </w:r>
              <w:r>
                <w:rPr>
                  <w:i/>
                </w:rPr>
                <w:t xml:space="preserve">autrui</w:t>
              </w:r>
              <w:r>
                <w:t xml:space="preserve">).</w:t>
              </w:r>
            </w:p>
            <w:p>
              <w:pPr>
                <w:pStyle w:val="BodyText"/>
              </w:pPr>
              <w:r>
                <w:rPr>
                  <w:color w:val="000000"/>
                  <w:sz w:val="18"/>
                  <w:vertAlign w:val="superscript"/>
                </w:rPr>
                <w:t xml:space="preserve">[38]</w:t>
              </w:r>
              <w:r>
                <w:rPr>
                  <w:color w:val="000000"/>
                  <w:sz w:val="18"/>
                </w:rPr>
                <w:t xml:space="preserve"> </w:t>
              </w:r>
              <w:r>
                <w:t xml:space="preserve">   This definition of abuse is based on the pretorian criteria identified by leading civil case-law.</w:t>
              </w:r>
            </w:p>
            <w:p>
              <w:pPr>
                <w:pStyle w:val="BodyText"/>
              </w:pPr>
              <w:r>
                <w:rPr>
                  <w:color w:val="000000"/>
                  <w:sz w:val="18"/>
                  <w:vertAlign w:val="superscript"/>
                </w:rPr>
                <w:t xml:space="preserve">[39]</w:t>
              </w:r>
              <w:r>
                <w:rPr>
                  <w:color w:val="000000"/>
                  <w:sz w:val="18"/>
                </w:rPr>
                <w:t xml:space="preserve"> </w:t>
              </w:r>
              <w:r>
                <w:t xml:space="preserve">   </w:t>
              </w:r>
              <w:hyperlink w:history="true" r:id="Ra9a9e9153c044374">
                <w:r>
                  <w:rPr>
                    <w:rStyle w:val="Hyperlink"/>
                  </w:rPr>
                  <w:t xml:space="preserve">https://consultation.avocat.fr/blog/nathalie-preguimbeau/article-30851-les-violences-au-sein-de-la-famille-loi-n-2019-1480-du-28-decembre-2019-analyse-detaillee.html</w:t>
                </w:r>
              </w:hyperlink>
            </w:p>
            <w:p>
              <w:pPr>
                <w:pStyle w:val="BodyText"/>
              </w:pPr>
              <w:r>
                <w:rPr>
                  <w:color w:val="000000"/>
                  <w:sz w:val="18"/>
                  <w:vertAlign w:val="superscript"/>
                </w:rPr>
                <w:t xml:space="preserve">[40]</w:t>
              </w:r>
              <w:r>
                <w:rPr>
                  <w:color w:val="000000"/>
                  <w:sz w:val="18"/>
                </w:rPr>
                <w:t xml:space="preserve"> </w:t>
              </w:r>
              <w:r>
                <w:t xml:space="preserve">   Article 4 of the Law 2019-1480 of 28 December 2019 aimed at taking action against domestic violence.</w:t>
              </w:r>
            </w:p>
            <w:p>
              <w:pPr>
                <w:pStyle w:val="BodyText"/>
              </w:pPr>
              <w:r>
                <w:rPr>
                  <w:color w:val="000000"/>
                  <w:sz w:val="18"/>
                  <w:vertAlign w:val="superscript"/>
                </w:rPr>
                <w:t xml:space="preserve">[41]</w:t>
              </w:r>
              <w:r>
                <w:t xml:space="preserve">    </w:t>
              </w:r>
              <w:hyperlink w:history="true" r:id="Rfd92d0cb83ae4646">
                <w:r>
                  <w:rPr>
                    <w:rStyle w:val="Hyperlink"/>
                  </w:rPr>
                  <w:t xml:space="preserve">https://consultation.avocat.fr/blog/nathalie-preguimbeau/article-30851-les-violences-au-sein-de-la-famille-loi-n-2019-1480-du-28-decembre-2019-analyse-detaillee.html</w:t>
                </w:r>
              </w:hyperlink>
            </w:p>
            <w:p>
              <w:pPr>
                <w:pStyle w:val="BodyText"/>
              </w:pPr>
              <w:r>
                <w:rPr>
                  <w:color w:val="000000"/>
                  <w:sz w:val="18"/>
                  <w:vertAlign w:val="superscript"/>
                </w:rPr>
                <w:t xml:space="preserve">[42]</w:t>
              </w:r>
              <w:r>
                <w:t xml:space="preserve">    The weapon is seized administratively if the weapon does not appear likely to contribute to the manifestation of the truth and if not, it is </w:t>
              </w:r>
              <w:r>
                <w:rPr>
                  <w:b/>
                </w:rPr>
                <w:t xml:space="preserve">judicial</w:t>
              </w:r>
              <w:r>
                <w:t xml:space="preserve">. In the latter case, it involves the weapon being placed under seal by a judicial police officer.</w:t>
              </w:r>
            </w:p>
            <w:p>
              <w:pPr>
                <w:pStyle w:val="BodyText"/>
              </w:pPr>
              <w:r>
                <w:rPr>
                  <w:color w:val="000000"/>
                  <w:sz w:val="18"/>
                  <w:vertAlign w:val="superscript"/>
                </w:rPr>
                <w:t xml:space="preserve">[43]</w:t>
              </w:r>
              <w:r>
                <w:t xml:space="preserve">    Article 515-11 of the French Civil Code.</w:t>
              </w:r>
            </w:p>
            <w:p>
              <w:pPr>
                <w:pStyle w:val="BodyText"/>
              </w:pPr>
              <w:r>
                <w:rPr>
                  <w:color w:val="000000"/>
                  <w:sz w:val="18"/>
                  <w:vertAlign w:val="superscript"/>
                </w:rPr>
                <w:t xml:space="preserve">[44] </w:t>
              </w:r>
              <w:r>
                <w:t xml:space="preserve">   In this case, the court considered that even if Lavallee shot her violent partner while he was walking away, it was because she still thought that her life was in danger (taking into account previous oral and physical threats he made), concluding that she was acting in self-defense.</w:t>
              </w:r>
            </w:p>
            <w:p>
              <w:pPr>
                <w:pStyle w:val="BodyText"/>
              </w:pPr>
              <w:r>
                <w:rPr>
                  <w:color w:val="000000"/>
                  <w:sz w:val="18"/>
                  <w:vertAlign w:val="superscript"/>
                </w:rPr>
                <w:t xml:space="preserve">[45]</w:t>
              </w:r>
              <w:r>
                <w:rPr>
                  <w:color w:val="000000"/>
                  <w:sz w:val="14"/>
                </w:rPr>
                <w:t xml:space="preserve"> </w:t>
              </w:r>
              <w:r>
                <w:t xml:space="preserve">   </w:t>
              </w:r>
              <w:r>
                <w:rPr>
                  <w:color w:val="002856"/>
                </w:rPr>
                <w:t xml:space="preserve">https://www.lepetitjuriste.fr/le-temoignage-des-enfants-dans-le-cadre-des-violences-conjugales/</w:t>
              </w:r>
            </w:p>
            <w:p>
              <w:pPr>
                <w:pStyle w:val="BodyText"/>
              </w:pPr>
              <w:r>
                <w:rPr>
                  <w:color w:val="000000"/>
                  <w:sz w:val="18"/>
                  <w:vertAlign w:val="superscript"/>
                </w:rPr>
                <w:t xml:space="preserve">[46]</w:t>
              </w:r>
              <w:r>
                <w:rPr>
                  <w:color w:val="000000"/>
                  <w:sz w:val="18"/>
                </w:rPr>
                <w:t xml:space="preserve"> </w:t>
              </w:r>
              <w:r>
                <w:t xml:space="preserve">   </w:t>
              </w:r>
              <w:hyperlink w:history="true" r:id="Rb21dbe0566d54780">
                <w:r>
                  <w:rPr>
                    <w:rStyle w:val="Hyperlink"/>
                  </w:rPr>
                  <w:t xml:space="preserve">http://www.solidaritefemmes.org/upload/guidejuridiquelogement-FNSF2017.pdf</w:t>
                </w:r>
              </w:hyperlink>
            </w:p>
            <w:p>
              <w:pPr>
                <w:pStyle w:val="BodyText"/>
              </w:pPr>
              <w:r>
                <w:rPr>
                  <w:color w:val="000000"/>
                  <w:sz w:val="18"/>
                  <w:vertAlign w:val="superscript"/>
                </w:rPr>
                <w:t xml:space="preserve">[47] </w:t>
              </w:r>
              <w:r>
                <w:t xml:space="preserve">   </w:t>
              </w:r>
              <w:hyperlink w:history="true" r:id="R236d52118ff04b68">
                <w:r>
                  <w:rPr>
                    <w:rStyle w:val="Hyperlink"/>
                  </w:rPr>
                  <w:t xml:space="preserve">https://www.lepetitjuriste.fr/loi-elan-victimes-de-violences-conjugales-plus-tenues-de-payer-loyer-apres-depart-logement/</w:t>
                </w:r>
              </w:hyperlink>
            </w:p>
            <w:p>
              <w:pPr>
                <w:pStyle w:val="BodyText"/>
              </w:pPr>
              <w:r>
                <w:rPr>
                  <w:color w:val="000000"/>
                  <w:sz w:val="18"/>
                  <w:vertAlign w:val="superscript"/>
                </w:rPr>
                <w:t xml:space="preserve">[48]</w:t>
              </w:r>
              <w:r>
                <w:t xml:space="preserve">    </w:t>
              </w:r>
              <w:hyperlink w:history="true" r:id="Ra822fb7bf25d45c3">
                <w:r>
                  <w:rPr>
                    <w:rStyle w:val="Hyperlink"/>
                  </w:rPr>
                  <w:t xml:space="preserve">http://www.justice.gouv.fr/publication/guide_violences_conjugales.pdf</w:t>
                </w:r>
              </w:hyperlink>
            </w:p>
            <w:p>
              <w:pPr>
                <w:pStyle w:val="BodyText"/>
              </w:pPr>
              <w:r>
                <w:rPr>
                  <w:color w:val="000000"/>
                  <w:sz w:val="18"/>
                  <w:vertAlign w:val="superscript"/>
                </w:rPr>
                <w:t xml:space="preserve">[49]</w:t>
              </w:r>
              <w:r>
                <w:rPr>
                  <w:color w:val="000000"/>
                  <w:sz w:val="18"/>
                </w:rPr>
                <w:t xml:space="preserve"> </w:t>
              </w:r>
              <w:r>
                <w:t xml:space="preserve">   </w:t>
              </w:r>
              <w:hyperlink w:history="true" r:id="Rd62e9a2c3d694755">
                <w:r>
                  <w:rPr>
                    <w:rStyle w:val="Hyperlink"/>
                  </w:rPr>
                  <w:t xml:space="preserve">http://www.justice.gouv.fr/publication/guide_violences_conjugales.pdf</w:t>
                </w:r>
              </w:hyperlink>
              <w:r>
                <w:t xml:space="preserve"> (page 34)</w:t>
              </w:r>
            </w:p>
            <w:p>
              <w:pPr>
                <w:pStyle w:val="BodyText"/>
              </w:pPr>
              <w:r>
                <w:rPr>
                  <w:sz w:val="18"/>
                  <w:vertAlign w:val="superscript"/>
                </w:rPr>
                <w:t xml:space="preserve">[50]</w:t>
              </w:r>
              <w:r>
                <w:rPr>
                  <w:sz w:val="18"/>
                  <w:vertAlign w:val="superscript"/>
                </w:rPr>
                <w:t xml:space="preserve"> </w:t>
              </w:r>
              <w:r>
                <w:rPr>
                  <w:sz w:val="18"/>
                </w:rPr>
                <w:t xml:space="preserve">          </w:t>
              </w:r>
              <w:hyperlink w:history="true" r:id="R2c48dd6653234819">
                <w:r>
                  <w:rPr>
                    <w:rStyle w:val="Hyperlink"/>
                  </w:rPr>
                  <w:t xml:space="preserve">https://rmc.bfmtv.com/emission/le-port-d-arme-des-conjoints-violents-mieux-regule-ce-serait-une-avancee-salue-l-amie-d-une-victime-1743834.html</w:t>
                </w:r>
              </w:hyperlink>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rfi.fr/en/france/20190903-domestic-violence-forum-starts-france-after-101-death-2019" TargetMode="External" Id="R692d08e4576d4a52" /><Relationship Type="http://schemas.openxmlformats.org/officeDocument/2006/relationships/hyperlink" Target="https://www.huffpost.com/entry/france-femicide-violence-against-women_n_5d792dc8e4b0fc715340a8dc" TargetMode="External" Id="R73e0fb4bc620480b" /><Relationship Type="http://schemas.openxmlformats.org/officeDocument/2006/relationships/hyperlink" Target="https://www.gouvernement.fr/sites/default/files/document/document/2019/11/dossier_de_presse_-_cloture_du_grenelle_contre_les_violences_conjugales_-_25.11.2019.pdf" TargetMode="External" Id="R1e8e33c940fe4ae9" /><Relationship Type="http://schemas.openxmlformats.org/officeDocument/2006/relationships/hyperlink" Target="https://www.legifrance.gouv.fr/eli/loi/2019/12/28/JUSX1926483L/jo/texte" TargetMode="External" Id="R73b09df6cff54502" /><Relationship Type="http://schemas.openxmlformats.org/officeDocument/2006/relationships/hyperlink" Target="https://www.legifrance.gouv.fr/affichTexte.do?cidTexte=JORFTEXT000042176652&amp;amp;categorieLien=id" TargetMode="External" Id="R18cc11941c5d44ff" /><Relationship Type="http://schemas.openxmlformats.org/officeDocument/2006/relationships/hyperlink" Target="https://www.legifrance.gouv.fr/affichTexte.do?cidTexte=JORFTEXT000000422042&amp;amp;categorieLien=id#:~:text=contre%20les%20mineurs-,LOI%20n%C2%B0%202006%2D399%20du%204%20avril%202006%20renfor%C3%A7ant,ou%20commises%20contre%20les%20mineurs" TargetMode="External" Id="R4d6493b9d22844e3" /><Relationship Type="http://schemas.openxmlformats.org/officeDocument/2006/relationships/hyperlink" Target="https://www.legifrance.gouv.fr/affichTexte.do?cidTexte=JORFTEXT000029330832&amp;amp;categorieLien=id" TargetMode="External" Id="Racc3567fb9d3454a" /><Relationship Type="http://schemas.openxmlformats.org/officeDocument/2006/relationships/hyperlink" Target="https://www.legifrance.gouv.fr/affichTexte.do?cidTexte=JORFTEXT000030949483&amp;amp;categorieLien=id" TargetMode="External" Id="R0f351647049f45ce" /><Relationship Type="http://schemas.openxmlformats.org/officeDocument/2006/relationships/hyperlink" Target="https://www.legifrance.gouv.fr/affichTexte.do?cidTexte=JORFTEXT000031045937&amp;amp;categorieLien=id" TargetMode="External" Id="R93981b26d57f45cc" /><Relationship Type="http://schemas.openxmlformats.org/officeDocument/2006/relationships/hyperlink" Target="https://www.legifrance.gouv.fr/affichTexte.do?cidTexte=JORFTEXT000032164264" TargetMode="External" Id="R5e44534ff23741a8" /><Relationship Type="http://schemas.openxmlformats.org/officeDocument/2006/relationships/hyperlink" Target="https://www.legifrance.gouv.fr/affichTexte.do?cidTexte=JORFTEXT000037284450&amp;amp;categorieLien=id" TargetMode="External" Id="R01a3e78edfb441a2" /><Relationship Type="http://schemas.openxmlformats.org/officeDocument/2006/relationships/hyperlink" Target="https://www.legifrance.gouv.fr/affichTexte.do?cidTexte=JORFTEXT000039684243&amp;amp;categorieLien=id" TargetMode="External" Id="R83b8dffcc279443b" /><Relationship Type="http://schemas.openxmlformats.org/officeDocument/2006/relationships/hyperlink" Target="https://www.legifrance.gouv.fr/affichTexte.do?cidTexte=JORFTEXT000042176652&amp;amp;categorieLien=id" TargetMode="External" Id="R2c57487543824ac2" /><Relationship Type="http://schemas.openxmlformats.org/officeDocument/2006/relationships/hyperlink" Target="https://consultation.avocat.fr/blog/nathalie-preguimbeau/article-30851-les-violences-au-sein-de-la-famille-loi-n-2019-1480-du-28-decembre-2019-analyse-detaillee.html" TargetMode="External" Id="Ra9a9e9153c044374" /><Relationship Type="http://schemas.openxmlformats.org/officeDocument/2006/relationships/hyperlink" Target="https://consultation.avocat.fr/blog/nathalie-preguimbeau/article-30851-les-violences-au-sein-de-la-famille-loi-n-2019-1480-du-28-decembre-2019-analyse-detaillee.html" TargetMode="External" Id="Rfd92d0cb83ae4646" /><Relationship Type="http://schemas.openxmlformats.org/officeDocument/2006/relationships/hyperlink" Target="http://www.solidaritefemmes.org/upload/guidejuridiquelogement-FNSF2017.pdf" TargetMode="External" Id="Rb21dbe0566d54780" /><Relationship Type="http://schemas.openxmlformats.org/officeDocument/2006/relationships/hyperlink" Target="https://www.lepetitjuriste.fr/loi-elan-victimes-de-violences-conjugales-plus-tenues-de-payer-loyer-apres-depart-logement/" TargetMode="External" Id="R236d52118ff04b68" /><Relationship Type="http://schemas.openxmlformats.org/officeDocument/2006/relationships/hyperlink" Target="https://protect-us.mimecast.com/s/qnW2CL9DoDCRnxogRfBXabe?domain=justice.gouv.fr" TargetMode="External" Id="Ra822fb7bf25d45c3" /><Relationship Type="http://schemas.openxmlformats.org/officeDocument/2006/relationships/hyperlink" Target="https://protect-us.mimecast.com/s/qnW2CL9DoDCRnxogRfBXabe?domain=justice.gouv.fr" TargetMode="External" Id="Rd62e9a2c3d694755" /><Relationship Type="http://schemas.openxmlformats.org/officeDocument/2006/relationships/hyperlink" Target="https://protect-us.mimecast.com/s/mnjKCM8gpgIq4KoLqfkvpH6?domain=rmc.bfmtv.com" TargetMode="External" Id="R2c48dd6653234819"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