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South Africa</w:t>
      </w:r>
      <w:r w:rsidR="00480329"/>
    </w:p>
    <w:p w:rsidRPr="00BC7873" w:rsidR="00BC7873" w:rsidP="00D354EF" w:rsidRDefault="00051AB4" w14:paraId="2476CC56" w14:textId="2FB25FA9">
      <w:pPr>
        <w:pStyle w:val="Title"/>
      </w:pPr>
      <w:r w:rsidRPr="00BC7873">
        <w:t>Delisting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Delisting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most utilized method for a listed company to delist its shares is for it to:</w:t>
              </w:r>
            </w:p>
            <w:p>
              <w:pPr>
                <w:pStyle w:val="BodyText"/>
              </w:pPr>
              <w:pPr>
                <w:pStyle w:val="ListParagraph"/>
                <w:numPr>
                  <w:ilvl w:val="0"/>
                  <w:numId w:val="9"/>
                </w:numPr>
              </w:pPr>
              <w:r>
                <w:t xml:space="preserve">send a circular to its shareholders:</w:t>
              </w:r>
            </w:p>
            <w:p>
              <w:pPr>
                <w:pStyle w:val="BodyText"/>
              </w:pPr>
              <w:pPr>
                <w:pStyle w:val="ListParagraph"/>
                <w:numPr>
                  <w:ilvl w:val="1"/>
                  <w:numId w:val="10"/>
                </w:numPr>
                <w:ind w:left="1560"/>
              </w:pPr>
              <w:r>
                <w:t xml:space="preserve">seeking their approval to delist;</w:t>
              </w:r>
            </w:p>
            <w:p>
              <w:pPr>
                <w:pStyle w:val="BodyText"/>
              </w:pPr>
              <w:pPr>
                <w:pStyle w:val="ListParagraph"/>
                <w:numPr>
                  <w:ilvl w:val="1"/>
                  <w:numId w:val="10"/>
                </w:numPr>
                <w:ind w:left="1560"/>
              </w:pPr>
              <w:r>
                <w:t xml:space="preserve">clearly stating the reasons for the delisting; and</w:t>
              </w:r>
            </w:p>
            <w:p>
              <w:pPr>
                <w:pStyle w:val="BodyText"/>
              </w:pPr>
              <w:pPr>
                <w:pStyle w:val="ListParagraph"/>
                <w:numPr>
                  <w:ilvl w:val="1"/>
                  <w:numId w:val="10"/>
                </w:numPr>
                <w:ind w:left="1560"/>
              </w:pPr>
              <w:r>
                <w:t xml:space="preserve">containing a bid to the shareholders for their shares accompanied by a statement from the board of directors that the bid is fair (who, in turn, have been so advised by an independent expert appointed for that purpose); and</w:t>
              </w:r>
            </w:p>
            <w:p>
              <w:pPr>
                <w:pStyle w:val="BodyText"/>
              </w:pPr>
              <w:pPr>
                <w:pStyle w:val="ListParagraph"/>
                <w:numPr>
                  <w:ilvl w:val="0"/>
                  <w:numId w:val="9"/>
                </w:numPr>
              </w:pPr>
              <w:r>
                <w:t xml:space="preserve">submit a written application to the JSE stating from which time and date it wishes the delisting to be effective.</w:t>
              </w:r>
            </w:p>
            <w:p>
              <w:pPr>
                <w:pStyle w:val="BodyText"/>
              </w:pPr>
              <w:r>
                <w:t xml:space="preserve">The JSE Committee will approve the delisting if the aforementioned shareholder approval has been obtained and the company has stated the reasons for its delisting in the written application.</w:t>
              </w:r>
            </w:p>
            <w:p>
              <w:pPr>
                <w:pStyle w:val="BodyText"/>
              </w:pPr>
              <w:r>
                <w:t xml:space="preserve">The circular and shareholder approval will not be required if:</w:t>
              </w:r>
            </w:p>
            <w:p>
              <w:pPr>
                <w:pStyle w:val="BodyText"/>
              </w:pPr>
              <w:pPr>
                <w:pStyle w:val="ListParagraph"/>
                <w:numPr>
                  <w:ilvl w:val="0"/>
                  <w:numId w:val="11"/>
                </w:numPr>
              </w:pPr>
              <w:r>
                <w:t xml:space="preserve">in terms of a takeover bid, the bidder is to hold more than 90% of the shares in a regulated company and notice was given by the bidder of its intention to delist the shares in the initial bid document or any subsequent circular sent to the shareholders; or</w:t>
              </w:r>
            </w:p>
            <w:p>
              <w:pPr>
                <w:pStyle w:val="BodyText"/>
              </w:pPr>
              <w:pPr>
                <w:pStyle w:val="ListParagraph"/>
                <w:numPr>
                  <w:ilvl w:val="0"/>
                  <w:numId w:val="11"/>
                </w:numPr>
              </w:pPr>
              <w:r>
                <w:t xml:space="preserve">following the completion of a scheme of arrangement with shareholders, the bidder has acquired all the shares in the company or the JSE is satisfied (in its discretion) that the company no longer qualifies for a listing.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