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Hungary</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July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Hungarian law, the term “real estate” includes the following:</w:t>
                  </w:r>
                </w:p>
                <w:p>
                  <w:pPr>
                    <w:pStyle w:val="BodyText"/>
                  </w:pPr>
                  <w:pPr>
                    <w:pStyle w:val="ListParagraph"/>
                    <w:numPr>
                      <w:ilvl w:val="0"/>
                      <w:numId w:val="23"/>
                    </w:numPr>
                  </w:pPr>
                  <w:r>
                    <w:t xml:space="preserve">Land</w:t>
                  </w:r>
                </w:p>
                <w:p>
                  <w:pPr>
                    <w:pStyle w:val="BodyText"/>
                  </w:pPr>
                  <w:pPr>
                    <w:pStyle w:val="ListParagraph"/>
                    <w:numPr>
                      <w:ilvl w:val="0"/>
                      <w:numId w:val="23"/>
                    </w:numPr>
                  </w:pPr>
                  <w:r>
                    <w:t xml:space="preserve">Any buildings or structures located on the land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Real estate transactions are governed primarily by the New Hungarian Civil Code, which entered into force on 15 March 2014. However, several other legislative acts provide special provisions relating to the acquisition of agricultural lands and/or commercial leases. Zoning regulations are adopted and enacted by local municipalities.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a single, national land registry system where ownership can be verified and where interests in land are registered. However, since lease agreements cannot be currently registered in the land registry, one cannot verify from an independent source whether a lease agreement has been concluded in relation to specific real estate.</w:t>
                  </w:r>
                </w:p>
                <w:p>
                  <w:pPr>
                    <w:pStyle w:val="BodyText"/>
                  </w:pPr>
                  <w:pPr>
                    <w:ind w:left="0" w:right="0"/>
                    <w:spacing w:before="0" w:after="180"/>
                  </w:pPr>
                  <w:r>
                    <w:t xml:space="preserve">Within certain statutory limits, rights recorded in the land registry are effectively guaranteed.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The Land Registry Office in the national land registry system manages title registration.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rights are required to be registered:</w:t>
                  </w:r>
                </w:p>
                <w:p>
                  <w:pPr>
                    <w:pStyle w:val="BodyText"/>
                  </w:pPr>
                  <w:pPr>
                    <w:pStyle w:val="ListParagraph"/>
                    <w:numPr>
                      <w:ilvl w:val="0"/>
                      <w:numId w:val="21"/>
                    </w:numPr>
                  </w:pPr>
                  <w:r>
                    <w:t xml:space="preserve">Ownership right</w:t>
                  </w:r>
                </w:p>
                <w:p>
                  <w:pPr>
                    <w:pStyle w:val="BodyText"/>
                  </w:pPr>
                  <w:pPr>
                    <w:pStyle w:val="ListParagraph"/>
                    <w:numPr>
                      <w:ilvl w:val="0"/>
                      <w:numId w:val="21"/>
                    </w:numPr>
                  </w:pPr>
                  <w:r>
                    <w:t xml:space="preserve">Mortgages</w:t>
                  </w:r>
                </w:p>
                <w:p>
                  <w:pPr>
                    <w:pStyle w:val="BodyText"/>
                  </w:pPr>
                  <w:pPr>
                    <w:pStyle w:val="ListParagraph"/>
                    <w:numPr>
                      <w:ilvl w:val="0"/>
                      <w:numId w:val="21"/>
                    </w:numPr>
                  </w:pPr>
                  <w:r>
                    <w:t xml:space="preserve">Usufruct</w:t>
                  </w:r>
                </w:p>
                <w:p>
                  <w:pPr>
                    <w:pStyle w:val="BodyText"/>
                  </w:pPr>
                  <w:pPr>
                    <w:pStyle w:val="ListParagraph"/>
                    <w:numPr>
                      <w:ilvl w:val="0"/>
                      <w:numId w:val="21"/>
                    </w:numPr>
                  </w:pPr>
                  <w:r>
                    <w:t xml:space="preserve">Easements </w:t>
                  </w:r>
                </w:p>
                <w:p>
                  <w:pPr>
                    <w:pStyle w:val="BodyText"/>
                  </w:pPr>
                  <w:r>
                    <w:t xml:space="preserve">Third parties without notice are not bound by unregistered interests over property. Subsequently, beneficiaries of the rights below usually record their rights in the land registry, including:</w:t>
                  </w:r>
                </w:p>
                <w:p>
                  <w:pPr>
                    <w:pStyle w:val="BodyText"/>
                  </w:pPr>
                  <w:pPr>
                    <w:pStyle w:val="ListParagraph"/>
                    <w:numPr>
                      <w:ilvl w:val="0"/>
                      <w:numId w:val="22"/>
                    </w:numPr>
                  </w:pPr>
                  <w:r>
                    <w:t xml:space="preserve">Call options</w:t>
                  </w:r>
                </w:p>
                <w:p>
                  <w:pPr>
                    <w:pStyle w:val="BodyText"/>
                  </w:pPr>
                  <w:pPr>
                    <w:pStyle w:val="ListParagraph"/>
                    <w:numPr>
                      <w:ilvl w:val="0"/>
                      <w:numId w:val="22"/>
                    </w:numPr>
                  </w:pPr>
                  <w:r>
                    <w:t xml:space="preserve">Repurchase rights</w:t>
                  </w:r>
                </w:p>
                <w:p>
                  <w:pPr>
                    <w:pStyle w:val="BodyText"/>
                  </w:pPr>
                  <w:pPr>
                    <w:pStyle w:val="ListParagraph"/>
                    <w:numPr>
                      <w:ilvl w:val="0"/>
                      <w:numId w:val="22"/>
                    </w:numPr>
                  </w:pPr>
                  <w:r>
                    <w:t xml:space="preserve">Right of first refusals</w:t>
                  </w:r>
                </w:p>
                <w:p>
                  <w:pPr>
                    <w:pStyle w:val="BodyText"/>
                  </w:pPr>
                  <w:pPr>
                    <w:pStyle w:val="ListParagraph"/>
                    <w:numPr>
                      <w:ilvl w:val="0"/>
                      <w:numId w:val="22"/>
                    </w:numPr>
                  </w:pPr>
                  <w:r>
                    <w:t xml:space="preserve">Right of enforcement </w:t>
                  </w:r>
                </w:p>
                <w:p>
                  <w:pPr>
                    <w:pStyle w:val="BodyText"/>
                  </w:pPr>
                  <w:pPr>
                    <w:pStyle w:val="ListParagraph"/>
                    <w:numPr>
                      <w:ilvl w:val="0"/>
                      <w:numId w:val="22"/>
                    </w:numPr>
                  </w:pPr>
                  <w:r>
                    <w:t xml:space="preserve">Right of support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Land Registry Office issues an official copy of the land registry sheet of the relevant property, verifying all rights registered in the land registry with respect to that particular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Either an electronic or a hard copy of the land registry sheet for a property can be obtained from the Land Registry Office for a statutory fee.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Citizens of the EU and legal persons incorporated in the EU may freely acquire any non-agricultural real estate.</w:t>
                  </w:r>
                </w:p>
                <w:p>
                  <w:pPr>
                    <w:pStyle w:val="BodyText"/>
                  </w:pPr>
                  <w:r>
                    <w:t xml:space="preserve">Foreigners who are not EU citizens or legal persons who are not incorporated in the EU must obtain permission from the competent government agency before acquiring any non-agricultural real estate.</w:t>
                  </w:r>
                </w:p>
                <w:p>
                  <w:pPr>
                    <w:pStyle w:val="BodyText"/>
                  </w:pPr>
                  <w:r>
                    <w:t xml:space="preserve">Foreign legal persons and private individuals outside the EU cannot acquire agricultural land in Hungary. According to the New Act on Arable Land, citizens of the EU, the EEA and countries equivalent under international treaties are allowed to acquire agricultural land with the same strict conditions as those for Hungarian citizens. Domestic natural persons and EU nationals, other than farmers, may acquire the ownership of land if the area of the land in their possession does not exceed one hectare together with the land proposed to be acquired. Legal persons of the EU and the EEA are not allowed to acquire agricultural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Government and quasi-government authorities can expropriate property, but appropriate, unconditional and immediate compensation must be paid and remedies, including judicial review, are granted to the owners.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0"/>
                    </w:numPr>
                  </w:pPr>
                  <w:r>
                    <w:t xml:space="preserve">Freehold</w:t>
                  </w:r>
                </w:p>
                <w:p>
                  <w:pPr>
                    <w:pStyle w:val="BodyText"/>
                  </w:pPr>
                  <w:pPr>
                    <w:pStyle w:val="ListParagraph"/>
                    <w:numPr>
                      <w:ilvl w:val="0"/>
                      <w:numId w:val="20"/>
                    </w:numPr>
                  </w:pPr>
                  <w:r>
                    <w:t xml:space="preserve">Leasehold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9"/>
                    </w:numPr>
                  </w:pPr>
                  <w:r>
                    <w:t xml:space="preserve">Limited liability company</w:t>
                  </w:r>
                </w:p>
                <w:p>
                  <w:pPr>
                    <w:pStyle w:val="BodyText"/>
                  </w:pPr>
                  <w:pPr>
                    <w:pStyle w:val="ListParagraph"/>
                    <w:numPr>
                      <w:ilvl w:val="0"/>
                      <w:numId w:val="19"/>
                    </w:numPr>
                  </w:pPr>
                  <w:r>
                    <w:t xml:space="preserve">Privately held company limited by shares</w:t>
                  </w:r>
                </w:p>
                <w:p>
                  <w:pPr>
                    <w:pStyle w:val="BodyText"/>
                  </w:pPr>
                  <w:r>
                    <w:t xml:space="preserve">As of July 2011, the real estate investment trust (REIT) regime has been introduced in Hungary with significant tax advantages and since then the REIT structure has been used by investors. Under the REIT legislation, a REIT may operate in the form of a public company limited by shares.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real estate financing is arranged through institutional lenders such as banks, pension funds and credit unions. Interest rates are generally fixed for a specified period of time or are variable based on a “prime rate” set by the lending institution on a periodic basis. The prime rate is based on either the base rate announced by the European Central Bank or the base rate set by the Hungarian Central Bank, depending on whether the loan has been denominated in euro or Hungarian forint. Typically, the borrower bears the responsibility to pay for all of the lender’s legal and other costs, such as commitment and processing fees in arranging property financing.</w:t>
                  </w:r>
                </w:p>
                <w:p>
                  <w:pPr>
                    <w:pStyle w:val="BodyText"/>
                  </w:pPr>
                  <w:r>
                    <w:t xml:space="preserve">Lending institutions typically take a mortgage as security, registering it against the title to the relevant property at the Land Registry Office.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purchaser’s lawyer generally prepares the transactional document and liaises with the Land Registry Office in connection with the registration of purchaser’s title to the real estate. However, the seller’s legal counsel is also usually involved in drafting the documentation.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Yes. The new owner can inherit liability regarding the site condition of a land (archaeological and environmental materials). However, in respect of environmental pollution, the owner may escape liability by proving, with substantial certainty, who caused the contamination, and the polluter can still be obligated to carry out the cleanup.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seller can retain liabilities relating to the real estate even after it has disposed of it. However, the sale and purchase agreement may stipulate otherwise.</w:t>
                  </w:r>
                </w:p>
                <w:p>
                  <w:pPr>
                    <w:pStyle w:val="BodyText"/>
                  </w:pPr>
                  <w:r>
                    <w:t xml:space="preserve">For properties held in leasehold, the tenant is not held liable for the obligations of previous tenants.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6"/>
                    </w:numPr>
                  </w:pPr>
                  <w:r>
                    <w:t xml:space="preserve">Due diligence report</w:t>
                  </w:r>
                </w:p>
                <w:p>
                  <w:pPr>
                    <w:pStyle w:val="BodyText"/>
                  </w:pPr>
                  <w:pPr>
                    <w:ind w:left="375"/>
                  </w:pPr>
                  <w:r>
                    <w:t xml:space="preserve">The purchaser, usually through his/her lawyer, conducts due diligence with respect to the property being acquired before signing a sale and purchase agreement. This includes title and zoning searches and a review of any leases and surveys of the property. An independent environmental and archaeological assessment is often recommended and an independent engineering review of the property is common in case of sites with older buildings. The purchaser’s lawyer will also provide a title report to the purchaser. While a number of insurance companies offer title insurance for purchasers, it is not market practice in Hungary for purchasers to obtain title insurance due to  high insurance premiums.</w:t>
                  </w:r>
                </w:p>
                <w:p>
                  <w:pPr>
                    <w:pStyle w:val="BodyText"/>
                  </w:pPr>
                  <w:pPr>
                    <w:pStyle w:val="ListParagraph"/>
                    <w:numPr>
                      <w:ilvl w:val="0"/>
                      <w:numId w:val="17"/>
                    </w:numPr>
                  </w:pPr>
                  <w:r>
                    <w:t xml:space="preserve">Sale and purchase agreement</w:t>
                  </w:r>
                </w:p>
                <w:p>
                  <w:pPr>
                    <w:pStyle w:val="BodyText"/>
                  </w:pPr>
                  <w:pPr>
                    <w:ind w:left="375"/>
                  </w:pPr>
                  <w:r>
                    <w:t xml:space="preserve">Once the purchaser has concluded the due diligence report and is satisfied with the findings, the purchaser and the seller will sign a sale and purchase agreement. This agreement should contain all necessary business terms relating to the transaction, including the description of the land, purchase price, deposit (if any), the closing date and any other special terms. This agreement also typically contains conditions for the benefit of the purchaser and representations and warranties by the seller.</w:t>
                  </w:r>
                </w:p>
                <w:p>
                  <w:pPr>
                    <w:pStyle w:val="BodyText"/>
                  </w:pPr>
                  <w:pPr>
                    <w:pStyle w:val="ListParagraph"/>
                    <w:numPr>
                      <w:ilvl w:val="0"/>
                      <w:numId w:val="18"/>
                    </w:numPr>
                  </w:pPr>
                  <w:r>
                    <w:t xml:space="preserve">Preliminary sale and purchase agreement</w:t>
                  </w:r>
                </w:p>
                <w:p>
                  <w:pPr>
                    <w:pStyle w:val="BodyText"/>
                  </w:pPr>
                  <w:pPr>
                    <w:ind w:left="375"/>
                  </w:pPr>
                  <w:r>
                    <w:t xml:space="preserve">If an unconditional sale and purchase agreement cannot be signed because (i) the seller must fulfill certain preconditions such as rezoning of the real estate or obtaining a permit for the reclassification of an agricultural land into a non-agricultural property; or (ii) there are third parties who have a right of first refusal in respect of the real estate, then the parties undertake in the preliminary sale and purchase agreement to conclude a final sale and purchase agreement once the pre-conditions are satisfied or the holder of the right of first refusal issues a declaration that it does not want to acquire the property. A preliminary sale and purchase agreement, which is a binding agreement, would include all main terms and conditions that will be included in the final sale and purchase agreement. According to the New Civil Code, the possibility to refuse to contract after a binding preliminary sale and purchase agreement is more restricted.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Sellers tend to give limited representations and warranties for the site/property condition. Therefore, a purchaser is generally responsible for conducting an extensive due diligence report with respect to the property to be acquired.</w:t>
                  </w:r>
                </w:p>
                <w:p>
                  <w:pPr>
                    <w:pStyle w:val="BodyText"/>
                  </w:pPr>
                  <w:pPr>
                    <w:ind w:left="0" w:right="0"/>
                    <w:spacing w:before="0" w:after="180"/>
                  </w:pPr>
                  <w:r>
                    <w:t xml:space="preserve">However, based on the law, the seller must issue legal warranties to the purchaser that the seller has a good title over the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Parties are legally bound when they execute the sale and purchase agreement or a preliminary sale and purchase agreement. The sale and purchase agreement must be made in writing and the final sale and purchase agreement, which is to be filed with the Land Registry Office, must also be countersigned by an attorney.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Title is transferred once the Land Registry Office registers the purchaser as the new owner of the real estate.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purchaser usually pays for the following:</w:t>
                  </w:r>
                </w:p>
                <w:p>
                  <w:pPr>
                    <w:pStyle w:val="BodyText"/>
                  </w:pPr>
                  <w:pPr>
                    <w:pStyle w:val="ListParagraph"/>
                    <w:numPr>
                      <w:ilvl w:val="0"/>
                      <w:numId w:val="14"/>
                    </w:numPr>
                  </w:pPr>
                  <w:r>
                    <w:t xml:space="preserve">Purchaser’s agent fees</w:t>
                  </w:r>
                </w:p>
                <w:p>
                  <w:pPr>
                    <w:pStyle w:val="BodyText"/>
                  </w:pPr>
                  <w:pPr>
                    <w:pStyle w:val="ListParagraph"/>
                    <w:numPr>
                      <w:ilvl w:val="0"/>
                      <w:numId w:val="14"/>
                    </w:numPr>
                  </w:pPr>
                  <w:r>
                    <w:t xml:space="preserve">Legal costs </w:t>
                  </w:r>
                </w:p>
                <w:p>
                  <w:pPr>
                    <w:pStyle w:val="BodyText"/>
                  </w:pPr>
                  <w:pPr>
                    <w:pStyle w:val="ListParagraph"/>
                    <w:numPr>
                      <w:ilvl w:val="0"/>
                      <w:numId w:val="14"/>
                    </w:numPr>
                  </w:pPr>
                  <w:r>
                    <w:t xml:space="preserve">Due diligence costs for consultants who have prepared building condition reports, environmental assessments, archaeological assessments, valuation appraisals and real estate surveys</w:t>
                  </w:r>
                </w:p>
                <w:p>
                  <w:pPr>
                    <w:pStyle w:val="BodyText"/>
                  </w:pPr>
                  <w:pPr>
                    <w:pStyle w:val="ListParagraph"/>
                    <w:numPr>
                      <w:ilvl w:val="0"/>
                      <w:numId w:val="14"/>
                    </w:numPr>
                  </w:pPr>
                  <w:r>
                    <w:t xml:space="preserve">Due diligence inquiries made to statutory and government bodies </w:t>
                  </w:r>
                </w:p>
                <w:p>
                  <w:pPr>
                    <w:pStyle w:val="BodyText"/>
                  </w:pPr>
                  <w:pPr>
                    <w:pStyle w:val="ListParagraph"/>
                    <w:numPr>
                      <w:ilvl w:val="0"/>
                      <w:numId w:val="14"/>
                    </w:numPr>
                  </w:pPr>
                  <w:r>
                    <w:t xml:space="preserve">Registration fees</w:t>
                  </w:r>
                </w:p>
                <w:p>
                  <w:pPr>
                    <w:pStyle w:val="BodyText"/>
                  </w:pPr>
                  <w:pPr>
                    <w:pStyle w:val="ListParagraph"/>
                    <w:numPr>
                      <w:ilvl w:val="0"/>
                      <w:numId w:val="14"/>
                    </w:numPr>
                  </w:pPr>
                  <w:r>
                    <w:t xml:space="preserve">Transfer taxes</w:t>
                  </w:r>
                </w:p>
                <w:p>
                  <w:pPr>
                    <w:pStyle w:val="BodyText"/>
                  </w:pPr>
                  <w:r>
                    <w:t xml:space="preserve">  The seller usually pays for the following:</w:t>
                  </w:r>
                </w:p>
                <w:p>
                  <w:pPr>
                    <w:pStyle w:val="BodyText"/>
                  </w:pPr>
                  <w:pPr>
                    <w:pStyle w:val="ListParagraph"/>
                    <w:numPr>
                      <w:ilvl w:val="0"/>
                      <w:numId w:val="15"/>
                    </w:numPr>
                  </w:pPr>
                  <w:r>
                    <w:t xml:space="preserve">Listing agent’s fees</w:t>
                  </w:r>
                </w:p>
                <w:p>
                  <w:pPr>
                    <w:pStyle w:val="BodyText"/>
                  </w:pPr>
                  <w:pPr>
                    <w:pStyle w:val="ListParagraph"/>
                    <w:numPr>
                      <w:ilvl w:val="0"/>
                      <w:numId w:val="15"/>
                    </w:numPr>
                  </w:pPr>
                  <w:r>
                    <w:t xml:space="preserve">Legal costs</w:t>
                  </w:r>
                </w:p>
                <w:p>
                  <w:pPr>
                    <w:pStyle w:val="BodyText"/>
                  </w:pPr>
                  <w:pPr>
                    <w:pStyle w:val="ListParagraph"/>
                    <w:numPr>
                      <w:ilvl w:val="0"/>
                      <w:numId w:val="15"/>
                    </w:numPr>
                  </w:pPr>
                  <w:r>
                    <w:t xml:space="preserve">Income tax on any profit made on the sale of the real estate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2"/>
                    </w:numPr>
                  </w:pPr>
                  <w:r>
                    <w:t xml:space="preserve">Commercial leases</w:t>
                  </w:r>
                </w:p>
                <w:p>
                  <w:pPr>
                    <w:pStyle w:val="BodyText"/>
                  </w:pPr>
                  <w:pPr>
                    <w:ind w:left="375"/>
                  </w:pPr>
                  <w:r>
                    <w:t xml:space="preserve">Commercial leases are very common for holding office and retail space, and to a more limited extent, for industrial buildings and plants. Most commercial lease transactions commence with an offer to lease in the form of a letter of intent or head of terms, which contains the business terms agreed upon by the parties, including the space, term, rent and any tenant inducements. Commercial leases are typically on a net/net rental basis, which requires a tenant to pay basic rent and a proportionate share of realty taxes, insurance, utility, service charges and common-area maintenance charges. In a retail lease, a tenant is generally required to pay turnover rent in addition to basic rent.</w:t>
                  </w:r>
                </w:p>
                <w:p>
                  <w:pPr>
                    <w:pStyle w:val="BodyText"/>
                  </w:pPr>
                  <w:pPr>
                    <w:pStyle w:val="ListParagraph"/>
                    <w:numPr>
                      <w:ilvl w:val="0"/>
                      <w:numId w:val="13"/>
                    </w:numPr>
                  </w:pPr>
                  <w:r>
                    <w:t xml:space="preserve">Residential leases</w:t>
                  </w:r>
                </w:p>
                <w:p>
                  <w:pPr>
                    <w:pStyle w:val="BodyText"/>
                  </w:pPr>
                  <w:pPr>
                    <w:ind w:left="375"/>
                  </w:pPr>
                  <w:r>
                    <w:t xml:space="preserve">In contrast to commercial leases, residential leases are heavily regulated in Hungary and legislation favors tenants. Rent fees are not regulated and there is no cap on rent increases either. However, termination of a lease and eviction of a tenant are not easy under currently applicable regulations.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Generally, commercial lease provisions are not regulated and are freely negotiable. However, residential leases have several compulsory statutory provisions which cannot be negotiated to the detriment of the tenant.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spacing w:after="180"/>
                  </w:pPr>
                  <w:r>
                    <w:t xml:space="preserve">There is no maximum term for leases – parties may conclude a commercial or residential lease for a limited or unlimited term.</w:t>
                  </w:r>
                </w:p>
                <w:p>
                  <w:pPr>
                    <w:pStyle w:val="BodyText"/>
                  </w:pPr>
                  <w:r>
                    <w:t xml:space="preserve">However, the tax authority may qualify the leases with significantly long lease terms (such as 50 or 99 years) as acquisitions by imposing the related transfer tax consequences.</w:t>
                  </w:r>
                </w:p>
                <w:p>
                  <w:pPr>
                    <w:pStyle w:val="BodyText"/>
                  </w:pPr>
                  <w:pPr>
                    <w:spacing w:after="180"/>
                  </w:pPr>
                  <w:r>
                    <w:t xml:space="preserve">The lease term can be extended, if the lease agreement makes express provision for this.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For office leases, the usual lease term is five years with an option for the tenant to extend for an additional five years.</w:t>
                  </w:r>
                </w:p>
                <w:p>
                  <w:pPr>
                    <w:pStyle w:val="BodyText"/>
                  </w:pPr>
                  <w:r>
                    <w:t xml:space="preserve">Most commercial retail leases are for a 10-year or 15-year term with an option for the tenant to extend the term for five or 10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No, except when expressly provided for in the lease contract.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A landlord can generally terminate the lease when the tenant breaches the terms of the lease, which usually includes failure to pay the rent, the service charge, or any other payment under the lease. In addition, based on court practice, if the lease agreement provides so, either party may terminate the lease without cause (break option for termination). Under the New Civil Code, the tenant can terminate the lease if the leased premises poses health hazards.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No. In the case of commercial lease agreements, rent is typically paid in euro since the landlord usually obtains financing for the development in euro.</w:t>
                  </w:r>
                </w:p>
                <w:p>
                  <w:pPr>
                    <w:pStyle w:val="BodyText"/>
                  </w:pPr>
                  <w:pPr>
                    <w:ind w:left="0" w:right="0"/>
                    <w:spacing w:before="0" w:after="180"/>
                  </w:pPr>
                  <w:r>
                    <w:t xml:space="preserve">For residential leases, rent is generally paid in Hungarian forint.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This will depend on the agreement of the parties. In case of residential leases, rent is usually paid at the beginning of each month. For commercial leases, rent and service charges are paid quarterly in advance.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Rent is usually indexed each year, either on the basis of the Monetary Union Index of Consumer Prices (MUICP) published by the European Central Bank if the rent is paid in euro, or on the basis of the International Comparison Program (ICP) published by the Hungarian Statistical Office if the rent is paid in Hungarian forint.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10"/>
                    </w:numPr>
                  </w:pPr>
                  <w:r>
                    <w:t xml:space="preserve">Repair and maintain the structure of the property</w:t>
                  </w:r>
                </w:p>
                <w:p>
                  <w:pPr>
                    <w:pStyle w:val="BodyText"/>
                  </w:pPr>
                  <w:pPr>
                    <w:pStyle w:val="ListParagraph"/>
                    <w:numPr>
                      <w:ilvl w:val="0"/>
                      <w:numId w:val="10"/>
                    </w:numPr>
                  </w:pPr>
                  <w:r>
                    <w:t xml:space="preserve">Insure the property </w:t>
                  </w:r>
                </w:p>
                <w:p>
                  <w:pPr>
                    <w:pStyle w:val="BodyText"/>
                  </w:pPr>
                  <w:pPr>
                    <w:pStyle w:val="ListParagraph"/>
                    <w:numPr>
                      <w:ilvl w:val="0"/>
                      <w:numId w:val="10"/>
                    </w:numPr>
                  </w:pPr>
                  <w:r>
                    <w:t xml:space="preserve">Provide various services under a commercial office or retail lease</w:t>
                  </w:r>
                </w:p>
                <w:p>
                  <w:pPr>
                    <w:pStyle w:val="BodyText"/>
                  </w:pPr>
                  <w:pPr>
                    <w:pStyle w:val="ListParagraph"/>
                    <w:numPr>
                      <w:ilvl w:val="0"/>
                      <w:numId w:val="10"/>
                    </w:numPr>
                  </w:pPr>
                  <w:r>
                    <w:t xml:space="preserve">Provide tenants with a valid notice of termination (in writing) if terminating the tenancy</w:t>
                  </w:r>
                </w:p>
                <w:p>
                  <w:pPr>
                    <w:pStyle w:val="BodyText"/>
                  </w:pPr>
                  <w:r>
                    <w:t xml:space="preserve">  The following is usually required of tenants:</w:t>
                  </w:r>
                </w:p>
                <w:p>
                  <w:pPr>
                    <w:pStyle w:val="BodyText"/>
                  </w:pPr>
                  <w:pPr>
                    <w:pStyle w:val="ListParagraph"/>
                    <w:numPr>
                      <w:ilvl w:val="0"/>
                      <w:numId w:val="11"/>
                    </w:numPr>
                  </w:pPr>
                  <w:r>
                    <w:t xml:space="preserve">Pay rent on time</w:t>
                  </w:r>
                </w:p>
                <w:p>
                  <w:pPr>
                    <w:pStyle w:val="BodyText"/>
                  </w:pPr>
                  <w:pPr>
                    <w:pStyle w:val="ListParagraph"/>
                    <w:numPr>
                      <w:ilvl w:val="0"/>
                      <w:numId w:val="11"/>
                    </w:numPr>
                  </w:pPr>
                  <w:r>
                    <w:t xml:space="preserve">Keep the property in good order</w:t>
                  </w:r>
                </w:p>
                <w:p>
                  <w:pPr>
                    <w:pStyle w:val="BodyText"/>
                  </w:pPr>
                  <w:pPr>
                    <w:pStyle w:val="ListParagraph"/>
                    <w:numPr>
                      <w:ilvl w:val="0"/>
                      <w:numId w:val="11"/>
                    </w:numPr>
                  </w:pPr>
                  <w:r>
                    <w:t xml:space="preserve">Inform the landlord if repairs are needed and give the landlord access to the property to carry out repairs </w:t>
                  </w:r>
                </w:p>
                <w:p>
                  <w:pPr>
                    <w:pStyle w:val="BodyText"/>
                  </w:pPr>
                  <w:pPr>
                    <w:pStyle w:val="ListParagraph"/>
                    <w:numPr>
                      <w:ilvl w:val="0"/>
                      <w:numId w:val="11"/>
                    </w:numPr>
                  </w:pPr>
                  <w:r>
                    <w:t xml:space="preserve">Give the landlord access (often by appointment) for inspections and landlord's work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Tenants are generally allowed to assign the lease or sublet the premises provided that they obtain the consent of the landlord. The landlord is usually required to act reasonably when considering the tenant’s request.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common market practice, if the premises are substantially damaged or destroyed by an act of God, then the landlord has a specific period within which to reconstruct or repair the leased premises. If the landlord doesn’t do so, both landlord and tenant are entitled to terminate the lease. Rent generally abates according to the extent of the damage or destruction.</w:t>
                  </w:r>
                </w:p>
                <w:p>
                  <w:pPr>
                    <w:pStyle w:val="BodyText"/>
                  </w:pPr>
                  <w:r>
                    <w:t xml:space="preserve">The tenant may be liable for repairs or replacement if the damage to, or destruction of, the premises are attributable to the tenant.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The landlord is usually responsible for obtaining adequate insurance coverage relating to the leased premises and the landlord will usually recover the cost of insurance from the tenant in a net lease. The tenant is usually required to insure the area it leases within the leased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Lease agreements survive and are binding upon the new owner. According to the New Civil Code, the old and the new owner have joint and several liability for landlord obligations, unless it is excluded in the lease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In the absence of a non-disturbance agreement, if a foreclosure is the result of a prior mortgage over the property, the lease will not survive at the option of the lender.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Property development is regulated primarily at the municipal level. Municipalities typically control land use and the density of the development through official plans and zoning by-laws. The ability of an owner to subdivide property is restricted and regulated in municipal zoning regulations.</w:t>
                  </w:r>
                </w:p>
                <w:p>
                  <w:pPr>
                    <w:pStyle w:val="BodyText"/>
                  </w:pPr>
                  <w:r>
                    <w:t xml:space="preserve">Any kind of construction activity is subject to national and municipal legislation. Building codes set specific standards for the construction of buildings, and a building permit must be obtained from the local municipality before the commencement of the construction. National regulation stipulates that the administrative recommendation of the Government Office of Hajdú-Bihar County (as the authority designated for that purpose) is required for construction and reconstruction of shopping centers with more than 400 square meters of gross floor space, and for enlargement of shopping spaces up to 400 square meters.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environmental permit must be obtained for industrial properties and for certain types of retail properties before commencing any industrial or retail activity on the property. An environment impact study must be prepared as part of the process of obtaining the environmental permit, and both locals and NGOs may express views and concerns in connection with the planned development.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Generally, a building permit is required for construction or reconstruction and an occupancy permit is required before occupying the building.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Generally, an environmental cleanup may be required where authorities seek to reduce or mitigate potential dangers to human health. It is important to note that in the case of greenfield development, developers may be required to carry out an archaeological excavation before construction.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0" w:right="0"/>
                    <w:spacing w:before="0" w:after="180"/>
                  </w:pPr>
                  <w:r>
                    <w:t xml:space="preserve">Currently there are no such requirements. In most real estate transactions, an energy certificate is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Green building requirements will be applicable for newly built residential properties in the near future. In respect of commercial properties, several energy efficiency requirements must be fulfilled as conditions precedent to the issuance of the occupancy permit. An energy efficiency certificate indicating the energy properties of the building must also be issued.</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42"/>
    <w:lvlOverride w:ilvl="0">
      <w:startOverride w:val="1"/>
    </w:lvlOverride>
  </w:num>
  <w:num w:numId="20">
    <w:abstractNumId w:val="50"/>
    <w:lvlOverride w:ilvl="0">
      <w:startOverride w:val="1"/>
    </w:lvlOverride>
  </w:num>
  <w:num w:numId="21">
    <w:abstractNumId w:val="58"/>
    <w:lvlOverride w:ilvl="0">
      <w:startOverride w:val="1"/>
    </w:lvlOverride>
  </w:num>
  <w:num w:numId="22">
    <w:abstractNumId w:val="58"/>
    <w:lvlOverride w:ilvl="0">
      <w:startOverride w:val="1"/>
    </w:lvlOverride>
  </w:num>
  <w:num w:numId="23">
    <w:abstractNumId w:val="6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