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662603" w:rsidRDefault="009E2793" w14:paraId="5605F879" w14:textId="4259CC65">
      <w:pPr>
        <w:pStyle w:val="Subtitle"/>
      </w:pPr>
      <w:r w:rsidRPr="00BC7873">
        <w:t>Fighting Domestic Violence - Uganda</w:t>
      </w:r>
    </w:p>
    <w:p w:rsidRPr="006F092A" w:rsidR="006F092A" w:rsidP="006F092A" w:rsidRDefault="00761F2A" w14:paraId="47A10C22" w14:textId="3415D899">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6C0569" w:rsidTr="00E702F0" w14:paraId="2827400E" w14:textId="77777777">
        <w:trPr>
          <w:tblHeader/>
        </w:trPr>
        <w:tc>
          <w:tcPr>
            <w:tcW w:w="8990" w:type="dxa"/>
          </w:tcPr>
          <w:p w:rsidR="006C0569" w:rsidP="00E702F0" w:rsidRDefault="006C0569" w14:paraId="613422C8" w14:textId="77777777">
            <w:pPr>
              <w:pStyle w:val="TOCHeading"/>
              <w:spacing w:after="160"/>
            </w:pPr>
            <w:r>
              <w:lastRenderedPageBreak/>
              <w:t>Contents</w:t>
            </w:r>
          </w:p>
        </w:tc>
      </w:tr>
      <w:tr w:rsidR="006C0569" w:rsidTr="00E702F0" w14:paraId="63FB350D"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6C0569" w:rsidP="00E702F0" w:rsidRDefault="006C0569" w14:paraId="04D1140F"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295F49DA">
      <w:r>
        <w:br w:type="page"/>
      </w:r>
    </w:p>
    <w:sdt>
      <w:sdtPr>
        <w:rPr>
          <w:rFonts w:eastAsiaTheme="minorHAnsi" w:cstheme="minorBidi"/>
          <w:b w:val="0"/>
          <w:color w:val="auto"/>
          <w:sz w:val="20"/>
          <w:szCs w:val="22"/>
        </w:rPr>
        <w:id w:val="-1863039157"/>
        <w:placeholder>
          <w:docPart w:val="DefaultPlaceholder_-1854013435"/>
        </w:placeholder>
        <w15:repeatingSectionItem/>
      </w:sdtPr>
      <w:sdtEndPr/>
      <w:sdtContent>
        <w:p>
          <w:pPr>
            <w:pStyle w:val="BodyText"/>
          </w:pPr>
          <w:r>
            <w:drawing>
              <wp:inline distT="0" distB="0" distL="0" distR="0">
                <wp:extent cx="7781924" cy="714375"/>
                <wp:effectExtent l="19050" t="0" r="0" b="0"/>
                <wp:docPr id="5" name="https://resourcehub.bakermckenzie.com/en/-/media/fighting-domestic-violence/reports/banners/uganda_banner_v1.jpg?h=75&amp;amp;w=817&amp;amp;rev=dd86ba651ca44bdba405a9404ab5d69c&amp;sc_lan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ttps://resourcehub.bakermckenzie.com/en/-/media/fighting-domestic-violence/reports/banners/uganda_banner_v1.jpg?h=75&amp;amp;w=817&amp;amp;rev=dd86ba651ca44bdba405a9404ab5d69c&amp;sc_lang=en" descr=""/>
                        <pic:cNvPicPr>
                          <a:picLocks noChangeAspect="1" noChangeArrowheads="1"/>
                        </pic:cNvPicPr>
                      </pic:nvPicPr>
                      <pic:blipFill>
                        <a:blip r:embed="R3f95601fb31d4160"/>
                        <a:srcRect/>
                        <a:stretch>
                          <a:fillRect/>
                        </a:stretch>
                      </pic:blipFill>
                      <pic:spPr bwMode="auto">
                        <a:xfrm>
                          <a:off x="0" y="0"/>
                          <a:ext cx="7781924" cy="714375"/>
                        </a:xfrm>
                        <a:prstGeom prst="rect">
                          <a:avLst/>
                        </a:prstGeom>
                      </pic:spPr>
                    </pic:pic>
                  </a:graphicData>
                </a:graphic>
              </wp:inline>
            </w:drawing>
          </w:r>
          <w:r>
            <w:drawing>
              <wp:inline distT="0" distB="0" distL="0" distR="0">
                <wp:extent cx="5505450" cy="838200"/>
                <wp:effectExtent l="19050" t="0" r="0" b="0"/>
                <wp:docPr id="6" name="https://resourcehub.bakermckenzie.com/en/-/media/fighting-domestic-violence/reports/quotes/ghana_quote_v1/uganda_quote_v1.jpg?h=88&amp;amp;w=578&amp;amp;rev=1a73210ffdaa45a18b95a8729db86a73&amp;sc_lan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ttps://resourcehub.bakermckenzie.com/en/-/media/fighting-domestic-violence/reports/quotes/ghana_quote_v1/uganda_quote_v1.jpg?h=88&amp;amp;w=578&amp;amp;rev=1a73210ffdaa45a18b95a8729db86a73&amp;sc_lang=en" descr=""/>
                        <pic:cNvPicPr>
                          <a:picLocks noChangeAspect="1" noChangeArrowheads="1"/>
                        </pic:cNvPicPr>
                      </pic:nvPicPr>
                      <pic:blipFill>
                        <a:blip r:embed="R41087c202a6045cc"/>
                        <a:srcRect/>
                        <a:stretch>
                          <a:fillRect/>
                        </a:stretch>
                      </pic:blipFill>
                      <pic:spPr bwMode="auto">
                        <a:xfrm>
                          <a:off x="0" y="0"/>
                          <a:ext cx="5505450" cy="838200"/>
                        </a:xfrm>
                        <a:prstGeom prst="rect">
                          <a:avLst/>
                        </a:prstGeom>
                      </pic:spPr>
                    </pic:pic>
                  </a:graphicData>
                </a:graphic>
              </wp:inline>
            </w:drawing>
          </w:r>
          <w:r>
            <w:rPr>
              <w:b/>
              <w:color w:val="4C0078"/>
            </w:rPr>
            <w:t xml:space="preserve">                              </w:t>
          </w:r>
          <w:r>
            <w:drawing>
              <wp:inline distT="0" distB="0" distL="0" distR="0">
                <wp:extent cx="1114425" cy="1571625"/>
                <wp:effectExtent l="19050" t="0" r="0" b="0"/>
                <wp:docPr id="7" name="https://resourcehub.bakermckenzie.com/en/-/media/fighting-domestic-violence/reports/tile-images/2021_africa.jpg?h=165&amp;amp;w=117&amp;amp;rev=4f9eea91f5c9410f8ab2031351d3579f&amp;sc_lan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ttps://resourcehub.bakermckenzie.com/en/-/media/fighting-domestic-violence/reports/tile-images/2021_africa.jpg?h=165&amp;amp;w=117&amp;amp;rev=4f9eea91f5c9410f8ab2031351d3579f&amp;sc_lang=en" descr=""/>
                        <pic:cNvPicPr>
                          <a:picLocks noChangeAspect="1" noChangeArrowheads="1"/>
                        </pic:cNvPicPr>
                      </pic:nvPicPr>
                      <pic:blipFill>
                        <a:blip r:embed="R544f48648e8f4d03"/>
                        <a:srcRect/>
                        <a:stretch>
                          <a:fillRect/>
                        </a:stretch>
                      </pic:blipFill>
                      <pic:spPr bwMode="auto">
                        <a:xfrm>
                          <a:off x="0" y="0"/>
                          <a:ext cx="1114425" cy="1571625"/>
                        </a:xfrm>
                        <a:prstGeom prst="rect">
                          <a:avLst/>
                        </a:prstGeom>
                      </pic:spPr>
                    </pic:pic>
                  </a:graphicData>
                </a:graphic>
              </wp:inline>
            </w:drawing>
          </w:r>
        </w:p>
        <w:p>
          <w:pPr>
            <w:pStyle w:val="BodyText"/>
          </w:pPr>
          <w:pPr>
            <w:jc w:val="right"/>
          </w:pPr>
          <w:hyperlink w:history="true" r:id="R0d383702a58b4614">
            <w:r>
              <w:rPr>
                <w:rStyle w:val="Hyperlink"/>
                <w:b/>
                <w:color w:val="4C0078"/>
                <w:sz w:val="18"/>
              </w:rPr>
              <w:t xml:space="preserve">Uganda Full Report</w:t>
            </w:r>
          </w:hyperlink>
        </w:p>
        <w:p>
          <w:pPr>
            <w:pStyle w:val="BodyText"/>
          </w:pPr>
          <w:pPr>
            <w:ind/>
          </w:pPr>
          <w:r>
            <w:rPr>
              <w:b/>
              <w:color w:val="323232"/>
              <w:sz w:val="36"/>
              <w:bdr w:val="single" w:color="000000" w:sz="16" w:space="1"/>
            </w:rPr>
            <w:t xml:space="preserve">How to use and navigate this report</w:t>
          </w:r>
          <w:r>
            <w:drawing>
              <wp:inline distT="0" distB="0" distL="0" distR="0">
                <wp:extent cx="8667750" cy="1695450"/>
                <wp:effectExtent l="19050" t="0" r="0" b="0"/>
                <wp:docPr id="8" name="https://resourcehub.bakermckenzie.com/en/-/media/fighting-domestic-violence/reports/banners/jurisdiction_instructions_v1.jpg?rev=0b2544bab61249d491e5aeb9ba679f2c&amp;sc_lan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https://resourcehub.bakermckenzie.com/en/-/media/fighting-domestic-violence/reports/banners/jurisdiction_instructions_v1.jpg?rev=0b2544bab61249d491e5aeb9ba679f2c&amp;sc_lang=en" descr=""/>
                        <pic:cNvPicPr>
                          <a:picLocks noChangeAspect="1" noChangeArrowheads="1"/>
                        </pic:cNvPicPr>
                      </pic:nvPicPr>
                      <pic:blipFill>
                        <a:blip r:embed="R7de3df3429f6423a"/>
                        <a:srcRect/>
                        <a:stretch>
                          <a:fillRect/>
                        </a:stretch>
                      </pic:blipFill>
                      <pic:spPr bwMode="auto">
                        <a:xfrm>
                          <a:off x="0" y="0"/>
                          <a:ext cx="8667750" cy="1695450"/>
                        </a:xfrm>
                        <a:prstGeom prst="rect">
                          <a:avLst/>
                        </a:prstGeom>
                      </pic:spPr>
                    </pic:pic>
                  </a:graphicData>
                </a:graphic>
              </wp:inline>
            </w:drawing>
          </w:r>
        </w:p>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1.	Legal provisions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Executive summary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For nearly two decades, Northern Uganda has been ravaged by conflict. Thousands of civilians have been subjected to brutal attacks and sexual violence, including rape, torture and the destruction of homes and communities. In recent years, there has been some movement toward justice for victims of these atrocities, but the progress has been slow and hampered by continued violence. In Uganda, victims of domestic violence in particular, as well as the police and the courts, face numerous challenges in responding effectively to the crisis of such conflict. The problems are aggravated by an overwhelming culture of silence, poor parliamentary oversight and difficulties in holding the police accountable for their shortcomings. It is clear that protecting victims and holding perpetrators to account takes more than just sound law.</w:t>
                  </w:r>
                </w:p>
                <w:p>
                  <w:pPr>
                    <w:pStyle w:val="BodyText"/>
                  </w:pPr>
                  <w:r>
                    <w:t xml:space="preserve">However, victims of domestic violence have legal remedies for acts of domestic violence committed against them. One of the key pieces of legislation that will be discussed in this memorandum is the Ugandan Domestic Violence Act, 17 of 2010 and its supplementary regulations. Further, the Constitution of Uganda prohibits inhuman and degrading treatment, and domestic violence falls within this type of treatment.</w:t>
                  </w:r>
                </w:p>
                <w:p>
                  <w:pPr>
                    <w:pStyle w:val="BodyText"/>
                  </w:pPr>
                  <w:r>
                    <w:t xml:space="preserve">Uganda has ratified a number of international conventions, including the Convention on the Elimination of All Forms of Discrimination against Women, 1985 and the African Charter on Human and Peoples' Rights on the Rights of Women in Africa. This has been done with the intention of using these conventions as a platform to bolster the protection and promotion of the rights of women.</w:t>
                  </w:r>
                </w:p>
                <w:p>
                  <w:pPr>
                    <w:pStyle w:val="BodyText"/>
                  </w:pPr>
                  <w:r>
                    <w:t xml:space="preserve">This memorandum analyses and compares the protection offered to victims of domestic violence under national Ugandan law, the Convention on the Elimination of All Forms of Discrimination against Women, 1985 and the African Charter on Human and Peoples' Rights on the Rights of Women in Africa. In doing so, this memorandum explores, in detail, the Ugandan legal framework governing domestic violence, and, as already mentioned, analyzes the key provisions of the Domestic Violence Act, 17 of 2010. More specifically, it investigates those routes of recourse offered to victims of domestic violence, as well as those measures that are available to victims of domestic violence, including, most importantly, civil protection orders, which are granted by courts to protect victims against perpetrators of such violence. Finally, this memorandum examines the Ugandan legal framework surrounding various special issues, such as the governance of child custody support, domestic violence in the workplace and housing rights of domestic violence survivors.</w:t>
                  </w:r>
                </w:p>
                <w:p>
                  <w:pPr>
                    <w:pStyle w:val="BodyText"/>
                  </w:pP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1.2 	What is the controlling case law?</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controlling case law regarding the response to domestic violence in Uganda comprises the following three cases:</w:t>
                  </w:r>
                </w:p>
                <w:p>
                  <w:pPr>
                    <w:pStyle w:val="BodyText"/>
                  </w:pPr>
                  <w:pPr>
                    <w:pStyle w:val="ListParagraph"/>
                    <w:numPr>
                      <w:ilvl w:val="0"/>
                      <w:numId w:val="29"/>
                    </w:numPr>
                  </w:pPr>
                  <w:r>
                    <w:rPr>
                      <w:i/>
                    </w:rPr>
                    <w:t xml:space="preserve">Uganda v. Bongomin</w:t>
                  </w:r>
                  <w:r>
                    <w:t xml:space="preserve"> (criminal session case No. 194 of 2011) [2014] UGHCCRD 91 (13 June 2014)</w:t>
                  </w:r>
                </w:p>
                <w:p>
                  <w:pPr>
                    <w:pStyle w:val="BodyText"/>
                  </w:pPr>
                  <w:pPr>
                    <w:pStyle w:val="ListParagraph"/>
                    <w:numPr>
                      <w:ilvl w:val="0"/>
                      <w:numId w:val="29"/>
                    </w:numPr>
                  </w:pPr>
                  <w:r>
                    <w:rPr>
                      <w:i/>
                    </w:rPr>
                    <w:t xml:space="preserve">Idrifua v. Uganda</w:t>
                  </w:r>
                  <w:r>
                    <w:t xml:space="preserve"> (criminal appeal No. 0014 of 2014) [2017] UGHCCRD 14 (10 August 2017)</w:t>
                  </w:r>
                </w:p>
                <w:p>
                  <w:pPr>
                    <w:pStyle w:val="BodyText"/>
                  </w:pPr>
                  <w:pPr>
                    <w:pStyle w:val="ListParagraph"/>
                    <w:numPr>
                      <w:ilvl w:val="0"/>
                      <w:numId w:val="29"/>
                    </w:numPr>
                  </w:pPr>
                  <w:r>
                    <w:rPr>
                      <w:i/>
                    </w:rPr>
                    <w:t xml:space="preserve">Mifumi (U) Ltd. &amp; Anor v. Attorney General &amp; Anor </w:t>
                  </w:r>
                  <w:r>
                    <w:t xml:space="preserve">(constitutional appeal No. 2 of 2014) [2015] UGSC 13</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1.3	What are the specific parts of the court system that address domestic violence?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judiciary is an independent organ of government entrusted to administer justice through a well-established court structure, including the local council courts, the magistrates' courts, the family and children courts, the High Court of Uganda ("High Court"), the Court of Appeal of Uganda ("Court of Appeal") and the Supreme Court of Uganda ("Supreme Court").</w:t>
                  </w:r>
                  <w:r>
                    <w:rPr>
                      <w:color w:val="8DB3E2"/>
                      <w:vertAlign w:val="superscript"/>
                    </w:rPr>
                    <w:t xml:space="preserve">[2]</w:t>
                  </w:r>
                </w:p>
                <w:p>
                  <w:pPr>
                    <w:pStyle w:val="BodyText"/>
                  </w:pPr>
                  <w:r>
                    <w:rPr>
                      <w:b/>
                    </w:rPr>
                    <w:t xml:space="preserve">Local council courts</w:t>
                  </w:r>
                </w:p>
                <w:p>
                  <w:pPr>
                    <w:pStyle w:val="BodyText"/>
                  </w:pPr>
                  <w:r>
                    <w:t xml:space="preserve">A complaint of domestic violence may be made to a local council court in the area where the victim or perpetrator resides. Upon receipt of a complaint, the court will make a record of the complaint and proceed to hear the matter in the manner prescribed under the Local Council Courts Act, 2006. </w:t>
                  </w:r>
                </w:p>
                <w:p>
                  <w:pPr>
                    <w:pStyle w:val="BodyText"/>
                  </w:pPr>
                  <w:r>
                    <w:t xml:space="preserve">The local council courts can make various orders, including the following:</w:t>
                  </w:r>
                  <w:r>
                    <w:rPr>
                      <w:color w:val="8DB3E2"/>
                      <w:vertAlign w:val="superscript"/>
                    </w:rPr>
                    <w:t xml:space="preserve">[3]</w:t>
                  </w:r>
                </w:p>
                <w:p>
                  <w:pPr>
                    <w:pStyle w:val="BodyText"/>
                  </w:pPr>
                  <w:pPr>
                    <w:pStyle w:val="ListParagraph"/>
                    <w:numPr>
                      <w:ilvl w:val="0"/>
                      <w:numId w:val="28"/>
                    </w:numPr>
                  </w:pPr>
                  <w:r>
                    <w:t xml:space="preserve">a caution</w:t>
                  </w:r>
                </w:p>
                <w:p>
                  <w:pPr>
                    <w:pStyle w:val="BodyText"/>
                  </w:pPr>
                  <w:pPr>
                    <w:pStyle w:val="ListParagraph"/>
                    <w:numPr>
                      <w:ilvl w:val="0"/>
                      <w:numId w:val="28"/>
                    </w:numPr>
                  </w:pPr>
                  <w:r>
                    <w:t xml:space="preserve">an apology to the victim</w:t>
                  </w:r>
                </w:p>
                <w:p>
                  <w:pPr>
                    <w:pStyle w:val="BodyText"/>
                  </w:pPr>
                  <w:pPr>
                    <w:pStyle w:val="ListParagraph"/>
                    <w:numPr>
                      <w:ilvl w:val="0"/>
                      <w:numId w:val="28"/>
                    </w:numPr>
                  </w:pPr>
                  <w:r>
                    <w:t xml:space="preserve">counseling</w:t>
                  </w:r>
                </w:p>
                <w:p>
                  <w:pPr>
                    <w:pStyle w:val="BodyText"/>
                  </w:pPr>
                  <w:pPr>
                    <w:pStyle w:val="ListParagraph"/>
                    <w:numPr>
                      <w:ilvl w:val="0"/>
                      <w:numId w:val="28"/>
                    </w:numPr>
                  </w:pPr>
                  <w:r>
                    <w:t xml:space="preserve">community service</w:t>
                  </w:r>
                </w:p>
                <w:p>
                  <w:pPr>
                    <w:pStyle w:val="BodyText"/>
                  </w:pPr>
                  <w:pPr>
                    <w:pStyle w:val="ListParagraph"/>
                    <w:numPr>
                      <w:ilvl w:val="0"/>
                      <w:numId w:val="28"/>
                    </w:numPr>
                  </w:pPr>
                  <w:r>
                    <w:t xml:space="preserve">a fine not exceeding 25 currency points</w:t>
                  </w:r>
                </w:p>
                <w:p>
                  <w:pPr>
                    <w:pStyle w:val="BodyText"/>
                  </w:pPr>
                  <w:pPr>
                    <w:pStyle w:val="ListParagraph"/>
                    <w:numPr>
                      <w:ilvl w:val="0"/>
                      <w:numId w:val="28"/>
                    </w:numPr>
                  </w:pPr>
                  <w:r>
                    <w:t xml:space="preserve">compensation</w:t>
                  </w:r>
                </w:p>
                <w:p>
                  <w:pPr>
                    <w:pStyle w:val="BodyText"/>
                  </w:pPr>
                  <w:pPr>
                    <w:pStyle w:val="ListParagraph"/>
                    <w:numPr>
                      <w:ilvl w:val="0"/>
                      <w:numId w:val="28"/>
                    </w:numPr>
                  </w:pPr>
                  <w:r>
                    <w:t xml:space="preserve">reconciliation</w:t>
                  </w:r>
                </w:p>
                <w:p>
                  <w:pPr>
                    <w:pStyle w:val="BodyText"/>
                  </w:pPr>
                  <w:pPr>
                    <w:pStyle w:val="ListParagraph"/>
                    <w:numPr>
                      <w:ilvl w:val="0"/>
                      <w:numId w:val="28"/>
                    </w:numPr>
                  </w:pPr>
                  <w:r>
                    <w:t xml:space="preserve">declaration</w:t>
                  </w:r>
                </w:p>
                <w:p>
                  <w:pPr>
                    <w:pStyle w:val="BodyText"/>
                  </w:pPr>
                  <w:pPr>
                    <w:pStyle w:val="ListParagraph"/>
                    <w:numPr>
                      <w:ilvl w:val="0"/>
                      <w:numId w:val="28"/>
                    </w:numPr>
                  </w:pPr>
                  <w:r>
                    <w:t xml:space="preserve">restitution</w:t>
                  </w:r>
                </w:p>
                <w:p>
                  <w:pPr>
                    <w:pStyle w:val="BodyText"/>
                  </w:pPr>
                  <w:pPr>
                    <w:pStyle w:val="ListParagraph"/>
                    <w:numPr>
                      <w:ilvl w:val="0"/>
                      <w:numId w:val="28"/>
                    </w:numPr>
                  </w:pPr>
                  <w:r>
                    <w:t xml:space="preserve">attachment and sale</w:t>
                  </w:r>
                </w:p>
                <w:p>
                  <w:pPr>
                    <w:pStyle w:val="BodyText"/>
                  </w:pPr>
                  <w:pPr>
                    <w:pStyle w:val="ListParagraph"/>
                    <w:numPr>
                      <w:ilvl w:val="0"/>
                      <w:numId w:val="28"/>
                    </w:numPr>
                  </w:pPr>
                  <w:r>
                    <w:t xml:space="preserve">any other order provided for under the Local Council Courts Act, 2006</w:t>
                  </w:r>
                </w:p>
                <w:p>
                  <w:pPr>
                    <w:pStyle w:val="BodyText"/>
                  </w:pPr>
                  <w:r>
                    <w:rPr>
                      <w:b/>
                    </w:rPr>
                    <w:t xml:space="preserve">Magistrates' courts</w:t>
                  </w:r>
                </w:p>
                <w:p>
                  <w:pPr>
                    <w:pStyle w:val="BodyText"/>
                  </w:pPr>
                  <w:r>
                    <w:t xml:space="preserve">Magistrates' courts handle the bulk of civil and criminal cases in Uganda. There are three levels of magistrates' courts: chief magistrates, magistrates grade I and magistrates grade II. These are subordinate courts, whose decisions are subject to review by the High Court.</w:t>
                  </w:r>
                  <w:r>
                    <w:rPr>
                      <w:color w:val="8DB3E2"/>
                      <w:vertAlign w:val="superscript"/>
                    </w:rPr>
                    <w:t xml:space="preserve">[4]</w:t>
                  </w:r>
                  <w:r>
                    <w:t xml:space="preserve"> Every magistrates' court has the competency to hear domestic violence matters. These courts have to apply the procedure prescribed by the Family and Children Court Rules and they have the power to issue protection orders against alleged perpetrators of domestic violence.</w:t>
                  </w:r>
                </w:p>
                <w:p>
                  <w:pPr>
                    <w:pStyle w:val="BodyText"/>
                  </w:pPr>
                  <w:r>
                    <w:rPr>
                      <w:b/>
                    </w:rPr>
                    <w:t xml:space="preserve">Family and children courts</w:t>
                  </w:r>
                </w:p>
                <w:p>
                  <w:pPr>
                    <w:pStyle w:val="BodyText"/>
                  </w:pPr>
                  <w:r>
                    <w:t xml:space="preserve">Family and children courts hear and determine matters of domestic violence under the Domestic Violence Act, regardless of whether it involves a child. These courts may issue an interim protection order or a protection order in the same manner as a magistrates' court.</w:t>
                  </w:r>
                </w:p>
                <w:p>
                  <w:pPr>
                    <w:pStyle w:val="BodyText"/>
                  </w:pPr>
                  <w:r>
                    <w:rPr>
                      <w:b/>
                    </w:rPr>
                    <w:t xml:space="preserve">High Court</w:t>
                  </w:r>
                </w:p>
                <w:p>
                  <w:pPr>
                    <w:pStyle w:val="BodyText"/>
                  </w:pPr>
                  <w:r>
                    <w:t xml:space="preserve">The High Court is the third court of record, in order of hierarchy, and it has unlimited original jurisdiction, which means that it can try any case of any value or crime of any magnitude. Appeals from all magistrates' courts go to the High Court. The High Court is headed by the honorable principal judge, who is responsible for the administration of the court and who has supervisory powers over magistrates' courts. The High Court has unlimited original jurisdiction under Article 139 of the Constitution of Uganda to adjudicate any domestic violence case that may arise.</w:t>
                  </w:r>
                </w:p>
                <w:p>
                  <w:pPr>
                    <w:pStyle w:val="BodyText"/>
                  </w:pPr>
                  <w:r>
                    <w:rPr>
                      <w:b/>
                    </w:rPr>
                    <w:t xml:space="preserve">Court of Appeal</w:t>
                  </w:r>
                </w:p>
                <w:p>
                  <w:pPr>
                    <w:pStyle w:val="BodyText"/>
                  </w:pPr>
                  <w:r>
                    <w:t xml:space="preserve">The Court of Appeal is the second court of record and the first appellate court of matters from the High Court. The Court of Appeal, sitting as a constitutional court, determine questions regarding the interpretation of the Constitution of Uganda on any issues on domestic violence.</w:t>
                  </w:r>
                </w:p>
                <w:p>
                  <w:pPr>
                    <w:pStyle w:val="BodyText"/>
                  </w:pPr>
                  <w:r>
                    <w:rPr>
                      <w:b/>
                    </w:rPr>
                    <w:t xml:space="preserve">Supreme Court</w:t>
                  </w:r>
                  <w:r>
                    <w:t xml:space="preserve"> </w:t>
                  </w:r>
                </w:p>
                <w:p>
                  <w:pPr>
                    <w:pStyle w:val="BodyText"/>
                  </w:pPr>
                  <w:r>
                    <w:t xml:space="preserve"> The Supreme Court is the first court of record and final court of appeal. All other courts are bound to follow the decisions of the Supreme Court on questions of law. </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1.4	What are potential causes of action?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Section 4 of the Domestic Violence Act prohibits a person in a domestic relationship from engaging in domestic violence. Should a person in a domestic relationship engage in domestic violence, they might be liable to a fine, not exceeding 48 currency points, or to imprisonment not exceeding two years, or to both. Moreover, the person may also be liable to pay compensation to the victim, in an amount determined by the court. This section contains the most notable cause of action in respect of domestic violence under Ugandan law.</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2.	Introduction: framework guiding domestic violence law</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2.1	Are there civil and criminal legal remedies for domestic violence victims?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Civil and criminal remedies are available to victims of domestic violence. In terms of Section 4 of the Domestic Violence Act, a victim of domestic violence may rely on the following remedies:</w:t>
                  </w:r>
                </w:p>
                <w:p>
                  <w:pPr>
                    <w:pStyle w:val="BodyText"/>
                  </w:pPr>
                  <w:pPr>
                    <w:pStyle w:val="ListParagraph"/>
                    <w:numPr>
                      <w:ilvl w:val="0"/>
                      <w:numId w:val="27"/>
                    </w:numPr>
                  </w:pPr>
                  <w:r>
                    <w:t xml:space="preserve">criminal remedies, in the form of a fine, not exceeding 48 currency points, or imprisonment, not exceeding two years, or both</w:t>
                  </w:r>
                </w:p>
                <w:p>
                  <w:pPr>
                    <w:pStyle w:val="BodyText"/>
                  </w:pPr>
                  <w:pPr>
                    <w:pStyle w:val="ListParagraph"/>
                    <w:numPr>
                      <w:ilvl w:val="0"/>
                      <w:numId w:val="27"/>
                    </w:numPr>
                  </w:pPr>
                  <w:r>
                    <w:t xml:space="preserve">civil remedies, in the form of payment of monetary compensation, the amount of which may be determined by the court in its discretion</w:t>
                  </w:r>
                </w:p>
                <w:p>
                  <w:pPr>
                    <w:pStyle w:val="BodyText"/>
                  </w:pPr>
                  <w:r>
                    <w:t xml:space="preserve"> Further, a court may make another appropriate order, such as granting the victim of domestic violence a protection order, as discussed in Section 3 below, or an order for the perpetrator to vacate the matrimonial home or other home, in accordance with Regulation 33 of the Domestic Violence Regulations. An order to vacate the matrimonial home is only granted in very limited circumstances (where the perpetrator threatens or where they attempted to kill the victim) and it is subject to strict evidence requirements. </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2.2	Is domestic violence identified in national law as a human right (noting that at a European level protection from domestic violence has not been explicitly identified as a human right but is indirectly captured by the other provisions)?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Arguably, the Constitution of Uganda indirectly recognizes freedom from domestic violence as a human right, given that Chapter 4 of the Constitution of Uganda, which provides for the "protection and promotion of fundamental and other human rights and freedoms," explicitly recognizes the following human rights, among others:</w:t>
                  </w:r>
                </w:p>
                <w:p>
                  <w:pPr>
                    <w:pStyle w:val="BodyText"/>
                  </w:pPr>
                  <w:pPr>
                    <w:pStyle w:val="ListParagraph"/>
                    <w:numPr>
                      <w:ilvl w:val="0"/>
                      <w:numId w:val="26"/>
                    </w:numPr>
                  </w:pPr>
                  <w:r>
                    <w:t xml:space="preserve">No person will be subjected to any form of torture or cruel, inhuman or degrading treatment or punishment.</w:t>
                  </w:r>
                  <w:r>
                    <w:rPr>
                      <w:color w:val="8DB3E2"/>
                      <w:vertAlign w:val="superscript"/>
                    </w:rPr>
                    <w:t xml:space="preserve">[5]</w:t>
                  </w:r>
                  <w:r>
                    <w:t xml:space="preserve"> </w:t>
                  </w:r>
                </w:p>
                <w:p>
                  <w:pPr>
                    <w:pStyle w:val="BodyText"/>
                  </w:pPr>
                  <w:pPr>
                    <w:pStyle w:val="ListParagraph"/>
                    <w:numPr>
                      <w:ilvl w:val="0"/>
                      <w:numId w:val="26"/>
                    </w:numPr>
                  </w:pPr>
                  <w:r>
                    <w:t xml:space="preserve">No person will be compulsorily deprived of property or any interest in or right over property of any description, with certain limited exceptions.</w:t>
                  </w:r>
                  <w:r>
                    <w:rPr>
                      <w:color w:val="8DB3E2"/>
                      <w:vertAlign w:val="superscript"/>
                    </w:rPr>
                    <w:t xml:space="preserve">[6]</w:t>
                  </w:r>
                </w:p>
                <w:p>
                  <w:pPr>
                    <w:pStyle w:val="BodyText"/>
                  </w:pPr>
                  <w:pPr>
                    <w:pStyle w:val="ListParagraph"/>
                    <w:numPr>
                      <w:ilvl w:val="0"/>
                      <w:numId w:val="26"/>
                    </w:numPr>
                  </w:pPr>
                  <w:r>
                    <w:t xml:space="preserve">The state will provide the facilities and opportunities necessary to enhance the welfare of women to enable them to realize their full potential and advancement.</w:t>
                  </w:r>
                  <w:r>
                    <w:rPr>
                      <w:color w:val="8DB3E2"/>
                      <w:vertAlign w:val="superscript"/>
                    </w:rPr>
                    <w:t xml:space="preserve">[7]</w:t>
                  </w:r>
                </w:p>
                <w:p>
                  <w:pPr>
                    <w:pStyle w:val="BodyText"/>
                  </w:pPr>
                  <w:pPr>
                    <w:pStyle w:val="ListParagraph"/>
                    <w:numPr>
                      <w:ilvl w:val="0"/>
                      <w:numId w:val="26"/>
                    </w:numPr>
                  </w:pPr>
                  <w:r>
                    <w:t xml:space="preserve">The Constitution of Uganda prohibits laws, cultures, customs or traditions that are against the dignity, welfare or interest of women or that undermine their status.</w:t>
                  </w:r>
                  <w:r>
                    <w:rPr>
                      <w:color w:val="8DB3E2"/>
                      <w:vertAlign w:val="superscript"/>
                    </w:rPr>
                    <w:t xml:space="preserve">[8]</w:t>
                  </w:r>
                </w:p>
                <w:p>
                  <w:pPr>
                    <w:pStyle w:val="BodyText"/>
                  </w:pPr>
                  <w:r>
                    <w:t xml:space="preserve">As such, arguably, protection from domestic violence falls within the scope of fundamental human rights, as recognized in the Constitution of Uganda. </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2.3 Has your country signed and ratified the conventions?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b/>
                    </w:rPr>
                    <w:t xml:space="preserve">The CEDAW</w:t>
                  </w:r>
                </w:p>
                <w:p>
                  <w:pPr>
                    <w:pStyle w:val="BodyText"/>
                  </w:pPr>
                  <w:r>
                    <w:t xml:space="preserve">Uganda ratified the CEDAW in 1985, without reservation. In 2010, the Ugandan Ministry of Gender, Labor and Social Development ("</w:t>
                  </w:r>
                  <w:r>
                    <w:rPr>
                      <w:b/>
                    </w:rPr>
                    <w:t xml:space="preserve">Ministry</w:t>
                  </w:r>
                  <w:r>
                    <w:t xml:space="preserve">") submitted a periodic report on the implementation of the CEDAW in Uganda. The report detailed a number of measures and anticipated steps put in place to address, implement and domesticate the CEDAW recommendations.</w:t>
                  </w:r>
                  <w:r>
                    <w:rPr>
                      <w:color w:val="8DB3E2"/>
                      <w:vertAlign w:val="superscript"/>
                    </w:rPr>
                    <w:t xml:space="preserve">[9]</w:t>
                  </w:r>
                  <w:r>
                    <w:t xml:space="preserve"> The Ministry committed to sending an updated report concerning the status of its implementation of the CEDAW recommendations before the end of 2017; however, it has since failed to do so.</w:t>
                  </w:r>
                  <w:r>
                    <w:rPr>
                      <w:color w:val="8DB3E2"/>
                      <w:vertAlign w:val="superscript"/>
                    </w:rPr>
                    <w:t xml:space="preserve">[10]</w:t>
                  </w:r>
                  <w:r>
                    <w:t xml:space="preserve"> Nevertheless, Uganda has taken positive steps in realizing and domesticating the CEDAW recommendations. The most significant step taken by Uganda in this regard is its signing into law the Domestic Violence Act. </w:t>
                  </w:r>
                </w:p>
                <w:p>
                  <w:pPr>
                    <w:pStyle w:val="BodyText"/>
                  </w:pPr>
                  <w:r>
                    <w:rPr>
                      <w:b/>
                    </w:rPr>
                    <w:t xml:space="preserve">The Maputo Protocol</w:t>
                  </w:r>
                </w:p>
                <w:p>
                  <w:pPr>
                    <w:pStyle w:val="BodyText"/>
                  </w:pPr>
                  <w:r>
                    <w:rPr>
                      <w:color w:val="8DB3E2"/>
                    </w:rPr>
                    <w:t xml:space="preserve"> </w:t>
                  </w:r>
                  <w:r>
                    <w:rPr>
                      <w:color w:val="000000"/>
                    </w:rPr>
                    <w:t xml:space="preserve">Uganda ratified the Maputo Protocol in 2010, with reservations. In response to the requirement to provide periodic reports, Uganda submitted its initial report to the African Commission on Human and Peoples' Rights ("</w:t>
                  </w:r>
                  <w:r>
                    <w:rPr>
                      <w:b/>
                      <w:color w:val="000000"/>
                    </w:rPr>
                    <w:t xml:space="preserve">Commission</w:t>
                  </w:r>
                  <w:r>
                    <w:rPr>
                      <w:color w:val="000000"/>
                    </w:rPr>
                    <w:t xml:space="preserve">") and, in 2015, the Commission released its observations and recommendations. The Commission noted that the report did not provide sufficient detail regarding Uganda's implementation of the Maputo Protocol. Further, the Commission made a significant observation, stating that Uganda had failed to fully domesticate the Maputo Protocol, which has impeded the full realization of the rights of women guaranteed under the Maputo Protocol. As such, the Commission recommended that Uganda expedite the domestication of a number of human rights instruments, including the Maputo Protocol.</w:t>
                  </w:r>
                  <w:r>
                    <w:rPr>
                      <w:color w:val="8DB3E2"/>
                      <w:vertAlign w:val="superscript"/>
                    </w:rPr>
                    <w:t xml:space="preserve">[11]</w:t>
                  </w:r>
                  <w:r>
                    <w:rPr>
                      <w:color w:val="8DB3E2"/>
                    </w:rPr>
                    <w:t xml:space="preserve"> </w:t>
                  </w:r>
                  <w:r>
                    <w:rPr>
                      <w:color w:val="000000"/>
                    </w:rPr>
                    <w:t xml:space="preserve">Uganda has yet to submit a further report to the Commission and, therefore, it is difficult to fully analyze the extent to which the Maputo Protocol has been implemented. Nevertheless, we could conclude that the country has made very little progress by way of implementing and domesticating the Maputo Protocol into local law, given that a number of organizations have noted Uganda's poor implementation of the Maputo Protocol, including the SRHR.</w:t>
                  </w:r>
                  <w:r>
                    <w:rPr>
                      <w:color w:val="8DB3E2"/>
                      <w:vertAlign w:val="superscript"/>
                    </w:rPr>
                    <w:t xml:space="preserve">[12]</w:t>
                  </w:r>
                  <w:r>
                    <w:br/>
                  </w:r>
                  <w:r>
                    <w:br/>
                  </w: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2.4 If it has ratified the Maputo Protocol, how has it been implemented into national law (African Union member states only)?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Please refer to section 2.3.</w:t>
                  </w:r>
                  <w:r>
                    <w:br/>
                  </w:r>
                  <w:r>
                    <w:br/>
                  </w:r>
                </w:p>
                <w:p>
                  <w:pPr>
                    <w:pStyle w:val="BodyText"/>
                  </w:pPr>
                  <w:r>
                    <w:t xml:space="preserve"> </w:t>
                  </w:r>
                </w:p>
                <w:p>
                  <w:pPr>
                    <w:pStyle w:val="BodyText"/>
                  </w:pP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2.5 If it has ratified the 1979 Convention (CEDAW), how has the recommendations part of General Comment No. 35 been implemented into national law?</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Please refer to section 2.3.</w:t>
                  </w:r>
                </w:p>
                <w:p>
                  <w:pPr>
                    <w:pStyle w:val="BodyText"/>
                  </w:pP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2.6 If the conventions have not been ratified or signed, is it envisaged that your country will do so?</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Please refer to section 2.3.</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3.	Similarities and differences in terminology</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3.1 Domestic violence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In order to understand Uganda's response to domestic violence, it is crucial to have a thorough understanding of relevant definitions in terms of the Domestic Violence Act. The below table contains a number of key definitions relevant to domestic violence.</w:t>
                  </w:r>
                </w:p>
                <w:p>
                  <w:pPr>
                    <w:pStyle w:val="BodyText"/>
                  </w:pPr>
                  <w:r>
                    <w:rPr>
                      <w:b/>
                    </w:rPr>
                    <w:t xml:space="preserve">Domestic violence</w:t>
                  </w:r>
                </w:p>
                <w:p>
                  <w:pPr>
                    <w:pStyle w:val="BodyText"/>
                  </w:pPr>
                  <w:r>
                    <w:t xml:space="preserve">Section 2 (definitions) Domestic Violence Act</w:t>
                  </w:r>
                </w:p>
                <w:p>
                  <w:pPr>
                    <w:pStyle w:val="BodyText"/>
                  </w:pPr>
                  <w:r>
                    <w:t xml:space="preserve">This constitutes any act or omission of a perpetrator that achieves the following:</w:t>
                  </w:r>
                </w:p>
                <w:p>
                  <w:pPr>
                    <w:pStyle w:val="BodyText"/>
                  </w:pPr>
                  <w:pPr>
                    <w:pStyle w:val="ListParagraph"/>
                    <w:numPr>
                      <w:ilvl w:val="0"/>
                      <w:numId w:val="24"/>
                    </w:numPr>
                  </w:pPr>
                  <w:r>
                    <w:t xml:space="preserve">harms, injures or endangers the health, safety, life, limb or well-being, whether mental or physical, of the victim or intends to do so and includes causing physical abuse, sexual abuse, emotional, verbal and psychological abuse and economic abuse</w:t>
                  </w:r>
                </w:p>
                <w:p>
                  <w:pPr>
                    <w:pStyle w:val="BodyText"/>
                  </w:pPr>
                  <w:pPr>
                    <w:pStyle w:val="ListParagraph"/>
                    <w:numPr>
                      <w:ilvl w:val="0"/>
                      <w:numId w:val="24"/>
                    </w:numPr>
                  </w:pPr>
                  <w:r>
                    <w:t xml:space="preserve">harasses, harms, injures or endangers the victim with a view to coercing him/her or any other person related to him/her to meet any unlawful demand for any property or valuable security</w:t>
                  </w:r>
                </w:p>
                <w:p>
                  <w:pPr>
                    <w:pStyle w:val="BodyText"/>
                  </w:pPr>
                  <w:pPr>
                    <w:pStyle w:val="ListParagraph"/>
                    <w:numPr>
                      <w:ilvl w:val="0"/>
                      <w:numId w:val="24"/>
                    </w:numPr>
                  </w:pPr>
                  <w:r>
                    <w:t xml:space="preserve">has the effect of threatening the victim or any person related to the victim by any conduct mentioned in paragraph (a) or (b)</w:t>
                  </w:r>
                </w:p>
                <w:p>
                  <w:pPr>
                    <w:pStyle w:val="BodyText"/>
                  </w:pPr>
                  <w:pPr>
                    <w:pStyle w:val="ListParagraph"/>
                    <w:numPr>
                      <w:ilvl w:val="0"/>
                      <w:numId w:val="24"/>
                    </w:numPr>
                  </w:pPr>
                  <w:r>
                    <w:t xml:space="preserve">otherwise injures or causes harm, whether physical or mental, to the victim</w:t>
                  </w:r>
                </w:p>
                <w:p>
                  <w:pPr>
                    <w:pStyle w:val="BodyText"/>
                  </w:pPr>
                  <w:r>
                    <w:rPr>
                      <w:b/>
                    </w:rPr>
                    <w:t xml:space="preserve">Domestic relationship</w:t>
                  </w:r>
                </w:p>
                <w:p>
                  <w:pPr>
                    <w:pStyle w:val="BodyText"/>
                  </w:pPr>
                  <w:r>
                    <w:t xml:space="preserve">Section 3 read together with Section 2 Domestic Violence Act</w:t>
                  </w:r>
                </w:p>
                <w:p>
                  <w:pPr>
                    <w:pStyle w:val="BodyText"/>
                  </w:pPr>
                  <w:r>
                    <w:t xml:space="preserve">A domestic relationship means a family relationship, a relationship similar to a family relationship or a relationship in a domestic setting that exists or existed between a victim and a perpetrator and includes a relationship where the following occur:</w:t>
                  </w:r>
                </w:p>
                <w:p>
                  <w:pPr>
                    <w:pStyle w:val="BodyText"/>
                  </w:pPr>
                  <w:pPr>
                    <w:pStyle w:val="ListParagraph"/>
                    <w:numPr>
                      <w:ilvl w:val="0"/>
                      <w:numId w:val="25"/>
                    </w:numPr>
                  </w:pPr>
                  <w:r>
                    <w:t xml:space="preserve">the victim has been married to the perpetrator</w:t>
                  </w:r>
                </w:p>
                <w:p>
                  <w:pPr>
                    <w:pStyle w:val="BodyText"/>
                  </w:pPr>
                  <w:pPr>
                    <w:pStyle w:val="ListParagraph"/>
                    <w:numPr>
                      <w:ilvl w:val="0"/>
                      <w:numId w:val="25"/>
                    </w:numPr>
                  </w:pPr>
                  <w:r>
                    <w:t xml:space="preserve">the perpetrator and the victim are family members related by consanguinity, affinity or kinship</w:t>
                  </w:r>
                </w:p>
                <w:p>
                  <w:pPr>
                    <w:pStyle w:val="BodyText"/>
                  </w:pPr>
                  <w:pPr>
                    <w:pStyle w:val="ListParagraph"/>
                    <w:numPr>
                      <w:ilvl w:val="0"/>
                      <w:numId w:val="25"/>
                    </w:numPr>
                  </w:pPr>
                  <w:r>
                    <w:t xml:space="preserve">the perpetrator and the victim share or shared the same residence</w:t>
                  </w:r>
                </w:p>
                <w:p>
                  <w:pPr>
                    <w:pStyle w:val="BodyText"/>
                  </w:pPr>
                  <w:pPr>
                    <w:pStyle w:val="ListParagraph"/>
                    <w:numPr>
                      <w:ilvl w:val="0"/>
                      <w:numId w:val="25"/>
                    </w:numPr>
                  </w:pPr>
                  <w:r>
                    <w:t xml:space="preserve">the victim is employed by the perpetrator as a domestic worker or house servant and the victim does or does not reside with the perpetrator</w:t>
                  </w:r>
                </w:p>
                <w:p>
                  <w:pPr>
                    <w:pStyle w:val="BodyText"/>
                  </w:pPr>
                  <w:pPr>
                    <w:pStyle w:val="ListParagraph"/>
                    <w:numPr>
                      <w:ilvl w:val="0"/>
                      <w:numId w:val="25"/>
                    </w:numPr>
                  </w:pPr>
                  <w:r>
                    <w:t xml:space="preserve">the victim is an employer of the perpetrator and does or does not reside with the perpetrator</w:t>
                  </w:r>
                </w:p>
                <w:p>
                  <w:pPr>
                    <w:pStyle w:val="BodyText"/>
                  </w:pPr>
                  <w:pPr>
                    <w:pStyle w:val="ListParagraph"/>
                    <w:numPr>
                      <w:ilvl w:val="0"/>
                      <w:numId w:val="25"/>
                    </w:numPr>
                  </w:pPr>
                  <w:r>
                    <w:t xml:space="preserve">the victim is or was in a relationship determined by the court to be a domestic relationship</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3.2 Stalking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N/A</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3.3 Harassment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Section 2 (definitions)</w:t>
                  </w:r>
                </w:p>
                <w:p>
                  <w:pPr>
                    <w:pStyle w:val="BodyText"/>
                  </w:pPr>
                  <w:r>
                    <w:t xml:space="preserve">This means engaging in a pattern of conduct that induces fear of harm, annoyance and aggravation with the intention of inducing fear in a person, including the following:</w:t>
                  </w:r>
                </w:p>
                <w:p>
                  <w:pPr>
                    <w:pStyle w:val="BodyText"/>
                  </w:pPr>
                  <w:pPr>
                    <w:ind w:left="600"/>
                  </w:pPr>
                  <w:r>
                    <w:t xml:space="preserve">(a)	repeatedly watching or loitering outside of or near the building where the victim resides, works, carries on business, studies or happens to be</w:t>
                  </w:r>
                  <w:r>
                    <w:br/>
                  </w:r>
                  <w:r>
                    <w:t xml:space="preserve">(b)	repeatedly making abusive telephone calls or causing another person to make abusive telephone calls to the victim, whether or not a conversation ensues</w:t>
                  </w:r>
                  <w:r>
                    <w:br/>
                  </w:r>
                  <w:r>
                    <w:t xml:space="preserve">(c)	repeatedly sending, delivering or causing the delivery of offensive or abusive letters, telegrams, packages, facsimiles, electronic mail, telephone text messages or similar objects to the victim</w:t>
                  </w:r>
                  <w:r>
                    <w:br/>
                  </w:r>
                  <w:r>
                    <w:t xml:space="preserve">(d)	repeatedly following, pursuing or accosting the victim with the intention of inducing fear, harm, annoyance or aggravation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3.4 Victim</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Section 2 (definitions)</w:t>
                  </w:r>
                  <w:r>
                    <w:br/>
                  </w:r>
                  <w:r>
                    <w:br/>
                  </w:r>
                  <w:r>
                    <w:t xml:space="preserve">This means a person in a domestic relationship who directly or indirectly suffers threatened or actual domestic violence.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3.5 Abuser</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N/A</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3.6 Civil protection order</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Section 2 (definitions)</w:t>
                  </w:r>
                  <w:r>
                    <w:br/>
                  </w:r>
                  <w:r>
                    <w:br/>
                  </w:r>
                  <w:r>
                    <w:t xml:space="preserve">This means a court order prohibiting domestic violence, restricting a person from harassing or threatening another person or restraining a person from contacting or approaching another person.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3.7 Causes of action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N/A</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3.8 Marital rape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N/A</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3.9 Are there any other important domestic violence terms defined in relevant domestic violence statutes and codes?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b/>
                    </w:rPr>
                    <w:t xml:space="preserve">Economic abuse</w:t>
                  </w:r>
                </w:p>
                <w:p>
                  <w:pPr>
                    <w:pStyle w:val="BodyText"/>
                  </w:pPr>
                  <w:r>
                    <w:t xml:space="preserve">Section 2 (definitions) </w:t>
                  </w:r>
                  <w:r>
                    <w:t xml:space="preserve">Domestic Violence Act</w:t>
                  </w:r>
                </w:p>
                <w:p>
                  <w:pPr>
                    <w:pStyle w:val="BodyText"/>
                  </w:pPr>
                  <w:r>
                    <w:t xml:space="preserve">This includes the following:</w:t>
                  </w:r>
                </w:p>
                <w:p>
                  <w:pPr>
                    <w:pStyle w:val="BodyText"/>
                  </w:pPr>
                  <w:pPr>
                    <w:ind w:left="600"/>
                  </w:pPr>
                  <w:r>
                    <w:t xml:space="preserve">(a)	deprivation of all or any economic or financial resources to which the victim is entitled under any law or custom, whether payable under an order of a court or otherwise or which the victim requires out of necessity, including but not limited to the following:</w:t>
                  </w:r>
                </w:p>
                <w:p>
                  <w:pPr>
                    <w:pStyle w:val="BodyText"/>
                  </w:pPr>
                  <w:pPr>
                    <w:pStyle w:val="ListParagraph"/>
                    <w:numPr>
                      <w:ilvl w:val="0"/>
                      <w:numId w:val="23"/>
                    </w:numPr>
                  </w:pPr>
                  <w:r>
                    <w:t xml:space="preserve">household necessities for the victim and his/her children, if any </w:t>
                  </w:r>
                </w:p>
                <w:p>
                  <w:pPr>
                    <w:pStyle w:val="BodyText"/>
                  </w:pPr>
                  <w:pPr>
                    <w:pStyle w:val="ListParagraph"/>
                    <w:numPr>
                      <w:ilvl w:val="0"/>
                      <w:numId w:val="23"/>
                    </w:numPr>
                  </w:pPr>
                  <w:r>
                    <w:t xml:space="preserve">property, jointly or separately owned by the victim </w:t>
                  </w:r>
                </w:p>
                <w:p>
                  <w:pPr>
                    <w:pStyle w:val="BodyText"/>
                  </w:pPr>
                  <w:pPr>
                    <w:pStyle w:val="ListParagraph"/>
                    <w:numPr>
                      <w:ilvl w:val="0"/>
                      <w:numId w:val="23"/>
                    </w:numPr>
                  </w:pPr>
                  <w:r>
                    <w:t xml:space="preserve">payment of rent related to the shared household and maintenance</w:t>
                  </w:r>
                </w:p>
                <w:p>
                  <w:pPr>
                    <w:pStyle w:val="BodyText"/>
                  </w:pPr>
                  <w:pPr>
                    <w:ind w:left="600"/>
                  </w:pPr>
                  <w:r>
                    <w:t xml:space="preserve">(b)	disposal of household effects, alienation of assets whether movable or immovable, shares, securities, bonds or similar assets or property in which the victim has an interest or is entitled to use by virtue of the domestic relationship or which may be reasonably required by the victim or his/her children or any other property jointly owned or separately held by the victim</w:t>
                  </w:r>
                </w:p>
                <w:p>
                  <w:pPr>
                    <w:pStyle w:val="BodyText"/>
                  </w:pPr>
                  <w:pPr>
                    <w:ind w:left="600"/>
                  </w:pPr>
                  <w:r>
                    <w:t xml:space="preserve">(c)	prohibiting or restricting access to resources or facilities that the victim is entitled to use or enjoy by virtue of the domestic relationship, including access to the shared household</w:t>
                  </w:r>
                </w:p>
                <w:p>
                  <w:pPr>
                    <w:pStyle w:val="BodyText"/>
                  </w:pPr>
                  <w:r>
                    <w:rPr>
                      <w:b/>
                    </w:rPr>
                    <w:t xml:space="preserve">Emotional, verbal and psychological abuse</w:t>
                  </w:r>
                </w:p>
                <w:p>
                  <w:pPr>
                    <w:pStyle w:val="BodyText"/>
                  </w:pPr>
                  <w:r>
                    <w:t xml:space="preserve">Section 2 (definitions) </w:t>
                  </w:r>
                  <w:r>
                    <w:t xml:space="preserve">Domestic Violence Act</w:t>
                  </w:r>
                </w:p>
                <w:p>
                  <w:pPr>
                    <w:pStyle w:val="BodyText"/>
                  </w:pPr>
                  <w:r>
                    <w:t xml:space="preserve">This means a pattern of degrading or humiliating conduct toward a victim, including but not limited to the following:</w:t>
                  </w:r>
                </w:p>
                <w:p>
                  <w:pPr>
                    <w:pStyle w:val="BodyText"/>
                  </w:pPr>
                  <w:pPr>
                    <w:ind w:left="600"/>
                  </w:pPr>
                  <w:r>
                    <w:t xml:space="preserve">(a)	repeated insults, ridicule or name-calling</w:t>
                  </w:r>
                </w:p>
                <w:p>
                  <w:pPr>
                    <w:pStyle w:val="BodyText"/>
                  </w:pPr>
                  <w:pPr>
                    <w:ind w:left="600"/>
                  </w:pPr>
                  <w:r>
                    <w:t xml:space="preserve">(b)	repeated threats to cause emotional pain</w:t>
                  </w:r>
                </w:p>
                <w:p>
                  <w:pPr>
                    <w:pStyle w:val="BodyText"/>
                  </w:pPr>
                  <w:pPr>
                    <w:ind w:left="600"/>
                  </w:pPr>
                  <w:r>
                    <w:t xml:space="preserve">(c)	the repeated exhibition of possessiveness or jealousy that constitutes a serious invasion of the victim's privacy, liberty, integrity or security</w:t>
                  </w:r>
                </w:p>
                <w:p>
                  <w:pPr>
                    <w:pStyle w:val="BodyText"/>
                  </w:pPr>
                  <w:pPr>
                    <w:ind w:left="600"/>
                  </w:pPr>
                  <w:r>
                    <w:t xml:space="preserve">(d)	any act or behavior constituting domestic violence, within the meaning of the Domestic Violence Act, where it is committed in the presence of a minor or member of the family and that is considered abuse against the minor member and likely to cause him/her injury</w:t>
                  </w:r>
                </w:p>
                <w:p>
                  <w:pPr>
                    <w:pStyle w:val="BodyText"/>
                  </w:pPr>
                  <w:r>
                    <w:rPr>
                      <w:b/>
                    </w:rPr>
                    <w:t xml:space="preserve">Perpetrator</w:t>
                  </w:r>
                </w:p>
                <w:p>
                  <w:pPr>
                    <w:pStyle w:val="BodyText"/>
                  </w:pPr>
                  <w:r>
                    <w:t xml:space="preserve">Section 2 (definitions) </w:t>
                  </w:r>
                  <w:r>
                    <w:t xml:space="preserve">Domestic Violence Act</w:t>
                  </w:r>
                </w:p>
                <w:p>
                  <w:pPr>
                    <w:pStyle w:val="BodyText"/>
                  </w:pPr>
                  <w:r>
                    <w:t xml:space="preserve">This means a person who is alleged to have committed an actual or threatened act of domestic violence.</w:t>
                  </w:r>
                </w:p>
                <w:p>
                  <w:pPr>
                    <w:pStyle w:val="BodyText"/>
                  </w:pPr>
                  <w:r>
                    <w:rPr>
                      <w:b/>
                    </w:rPr>
                    <w:t xml:space="preserve">Physical abuse</w:t>
                  </w:r>
                </w:p>
                <w:p>
                  <w:pPr>
                    <w:pStyle w:val="BodyText"/>
                  </w:pPr>
                  <w:r>
                    <w:t xml:space="preserve">Section 2 (definitions) </w:t>
                  </w:r>
                  <w:r>
                    <w:t xml:space="preserve">Domestic Violence Act</w:t>
                  </w:r>
                </w:p>
                <w:p>
                  <w:pPr>
                    <w:pStyle w:val="BodyText"/>
                  </w:pPr>
                  <w:r>
                    <w:t xml:space="preserve">This means any act or conduct that is of such a nature as to cause bodily pain, harm or danger to life, limb or health or that impairs the health or development of the victim, including assault, criminal intimidation and criminal force.</w:t>
                  </w:r>
                </w:p>
                <w:p>
                  <w:pPr>
                    <w:pStyle w:val="BodyText"/>
                  </w:pPr>
                  <w:r>
                    <w:rPr>
                      <w:b/>
                    </w:rPr>
                    <w:t xml:space="preserve">Sexual abuse</w:t>
                  </w:r>
                </w:p>
                <w:p>
                  <w:pPr>
                    <w:pStyle w:val="BodyText"/>
                  </w:pPr>
                  <w:r>
                    <w:t xml:space="preserve">Section 2 (definitions) </w:t>
                  </w:r>
                  <w:r>
                    <w:t xml:space="preserve">Domestic Violence Act</w:t>
                  </w:r>
                </w:p>
                <w:p>
                  <w:pPr>
                    <w:pStyle w:val="BodyText"/>
                  </w:pPr>
                  <w:r>
                    <w:t xml:space="preserve">This includes any conduct of a sexual nature that abuses, humiliates, degrades or otherwise violates the dignity of another person.
Victim	Section 2 (definitions)	This means a person in a domestic relationship who directly or indirectly suffers threatened or actual domestic violence.</w:t>
                  </w:r>
                </w:p>
                <w:p>
                  <w:pPr>
                    <w:pStyle w:val="BodyText"/>
                  </w:pPr>
                  <w:r>
                    <w:rPr>
                      <w:b/>
                    </w:rPr>
                    <w:t xml:space="preserve">Prohibition against domestic violence</w:t>
                  </w:r>
                </w:p>
                <w:p>
                  <w:pPr>
                    <w:pStyle w:val="BodyText"/>
                  </w:pPr>
                  <w:r>
                    <w:t xml:space="preserve">Section 4 Domestic Violence Act</w:t>
                  </w:r>
                </w:p>
                <w:p>
                  <w:pPr>
                    <w:pStyle w:val="BodyText"/>
                  </w:pPr>
                  <w:r>
                    <w:t xml:space="preserve">A person in a domestic relationship should not engage in domestic violence. A person who engages in domestic violence commits an offense and is liable on conviction to a fine not exceeding 48 currency points or imprisonment not exceeding two years, or both.</w:t>
                  </w:r>
                </w:p>
                <w:p>
                  <w:pPr>
                    <w:pStyle w:val="BodyText"/>
                  </w:pPr>
                  <w:r>
                    <w:rPr>
                      <w:b/>
                    </w:rPr>
                    <w:t xml:space="preserve">Compensation</w:t>
                  </w:r>
                </w:p>
                <w:p>
                  <w:pPr>
                    <w:pStyle w:val="BodyText"/>
                  </w:pPr>
                  <w:r>
                    <w:t xml:space="preserve">Schedule 2 Domestic Violence Act</w:t>
                  </w:r>
                </w:p>
                <w:p>
                  <w:pPr>
                    <w:pStyle w:val="BodyText"/>
                  </w:pPr>
                  <w:r>
                    <w:t xml:space="preserve">In addition to the other remedies provided under the Domestic Violence Act, the court may determine that the offender pay compensation to the victim of an amount determined by the court.</w:t>
                  </w:r>
                </w:p>
                <w:p>
                  <w:pPr>
                    <w:pStyle w:val="BodyText"/>
                  </w:pPr>
                  <w:r>
                    <w:rPr>
                      <w:b/>
                    </w:rPr>
                    <w:t xml:space="preserve">Proceedings in local council courts</w:t>
                  </w:r>
                </w:p>
                <w:p>
                  <w:pPr>
                    <w:pStyle w:val="BodyText"/>
                  </w:pPr>
                  <w:r>
                    <w:t xml:space="preserve">Section 6 Domestic Violence Act</w:t>
                  </w:r>
                </w:p>
                <w:p>
                  <w:pPr>
                    <w:pStyle w:val="BodyText"/>
                  </w:pPr>
                  <w:pPr>
                    <w:ind w:left="600"/>
                  </w:pPr>
                  <w:r>
                    <w:t xml:space="preserve">(a)	A complaint of domestic violence may be made to a local council court where the victim or perpetrator resides.</w:t>
                  </w:r>
                </w:p>
                <w:p>
                  <w:pPr>
                    <w:pStyle w:val="BodyText"/>
                  </w:pPr>
                  <w:pPr>
                    <w:ind w:left="600"/>
                  </w:pPr>
                  <w:r>
                    <w:t xml:space="preserve">(b)	Upon receipt of a complaint, the court will make a record of the complaint and proceed to hear the matter in the manner prescribed under the Local Council Courts Act, 2006.</w:t>
                  </w:r>
                </w:p>
                <w:p>
                  <w:pPr>
                    <w:pStyle w:val="BodyText"/>
                  </w:pPr>
                  <w:pPr>
                    <w:ind w:left="600"/>
                  </w:pPr>
                  <w:r>
                    <w:t xml:space="preserve">(c)	The Domestic Violence Act prescribes certain information that must be documented in the recording of a case of domestic abuse.</w:t>
                  </w:r>
                </w:p>
                <w:p>
                  <w:pPr>
                    <w:pStyle w:val="BodyText"/>
                  </w:pPr>
                  <w:r>
                    <w:rPr>
                      <w:b/>
                    </w:rPr>
                    <w:t xml:space="preserve">Order by local council court</w:t>
                  </w:r>
                </w:p>
                <w:p>
                  <w:pPr>
                    <w:pStyle w:val="BodyText"/>
                  </w:pPr>
                  <w:r>
                    <w:t xml:space="preserve">Section 6(5) Domestic Violence Act</w:t>
                  </w:r>
                </w:p>
                <w:p>
                  <w:pPr>
                    <w:pStyle w:val="BodyText"/>
                  </w:pPr>
                  <w:r>
                    <w:t xml:space="preserve">As already mentioned in Section 1.3 above, the local council court may make a variety of orders.</w:t>
                  </w:r>
                </w:p>
                <w:p>
                  <w:pPr>
                    <w:pStyle w:val="BodyText"/>
                  </w:pPr>
                  <w:r>
                    <w:rPr>
                      <w:b/>
                    </w:rPr>
                    <w:t xml:space="preserve">Police involvement from the court</w:t>
                  </w:r>
                </w:p>
                <w:p>
                  <w:pPr>
                    <w:pStyle w:val="BodyText"/>
                  </w:pPr>
                  <w:r>
                    <w:t xml:space="preserve">Section 6(6)	Domestic Violence Act</w:t>
                  </w:r>
                </w:p>
                <w:p>
                  <w:pPr>
                    <w:pStyle w:val="BodyText"/>
                  </w:pPr>
                  <w:r>
                    <w:t xml:space="preserve">A written referral should be made to the police and the magistrates' court, by a local council court, where the following occur:</w:t>
                  </w:r>
                </w:p>
                <w:p>
                  <w:pPr>
                    <w:pStyle w:val="BodyText"/>
                  </w:pPr>
                  <w:pPr>
                    <w:ind w:left="600"/>
                  </w:pPr>
                  <w:r>
                    <w:t xml:space="preserve">(a)	the perpetrator is a second or repeat offender</w:t>
                  </w:r>
                </w:p>
                <w:p>
                  <w:pPr>
                    <w:pStyle w:val="BodyText"/>
                  </w:pPr>
                  <w:pPr>
                    <w:ind w:left="600"/>
                  </w:pPr>
                  <w:r>
                    <w:t xml:space="preserve">(b)	in the opinion of the court, taking into account all the circumstances, the perpetrator is likely to inflict further harm on the victim</w:t>
                  </w:r>
                </w:p>
                <w:p>
                  <w:pPr>
                    <w:pStyle w:val="BodyText"/>
                  </w:pPr>
                  <w:pPr>
                    <w:ind w:left="600"/>
                  </w:pPr>
                  <w:r>
                    <w:t xml:space="preserve">(c)	in the opinion of the court, the degree and nature of the violence warrants the involvement of the police and the court, the local council court will make a written referral to the police</w:t>
                  </w:r>
                </w:p>
                <w:p>
                  <w:pPr>
                    <w:pStyle w:val="BodyText"/>
                  </w:pPr>
                  <w:r>
                    <w:rPr>
                      <w:b/>
                    </w:rPr>
                    <w:t xml:space="preserve">Children</w:t>
                  </w:r>
                </w:p>
                <w:p>
                  <w:pPr>
                    <w:pStyle w:val="BodyText"/>
                  </w:pPr>
                  <w:r>
                    <w:t xml:space="preserve">Section 6(7)-(8) Domestic Violence Act</w:t>
                  </w:r>
                </w:p>
                <w:p>
                  <w:pPr>
                    <w:pStyle w:val="BodyText"/>
                  </w:pPr>
                  <w:pPr>
                    <w:ind w:left="600"/>
                  </w:pPr>
                  <w:r>
                    <w:t xml:space="preserve">(a)	The local council court is required to inquire into and establish whether there are children involved in the domestic relationship in all complaints of domestic violence.</w:t>
                  </w:r>
                </w:p>
                <w:p>
                  <w:pPr>
                    <w:pStyle w:val="BodyText"/>
                  </w:pPr>
                  <w:pPr>
                    <w:ind w:left="600"/>
                  </w:pPr>
                  <w:r>
                    <w:t xml:space="preserve">(b)	Where it is established that there is a child, the local council court will make a written order to the probation and social welfare officer to make an inquiry and take necessary action regarding the welfare of the child in accordance with the provisions of the Children Act, as amended by the Children (Amendment) Act 2016 ("Children Act").</w:t>
                  </w:r>
                </w:p>
                <w:p>
                  <w:pPr>
                    <w:pStyle w:val="BodyText"/>
                  </w:pPr>
                  <w:r>
                    <w:rPr>
                      <w:b/>
                    </w:rPr>
                    <w:t xml:space="preserve">Urgency</w:t>
                  </w:r>
                </w:p>
                <w:p>
                  <w:pPr>
                    <w:pStyle w:val="BodyText"/>
                  </w:pPr>
                  <w:r>
                    <w:t xml:space="preserve">Section 6(10)-(11) Domestic Violence Act</w:t>
                  </w:r>
                </w:p>
                <w:p>
                  <w:pPr>
                    <w:pStyle w:val="BodyText"/>
                  </w:pPr>
                  <w:pPr>
                    <w:ind w:left="600"/>
                  </w:pPr>
                  <w:r>
                    <w:t xml:space="preserve">(a)	The local council court is to treat all cases of domestic violence as matters of urgency and will hear a case as soon as possible, but not later than 48 hours after the filing of the complaint.</w:t>
                  </w:r>
                </w:p>
                <w:p>
                  <w:pPr>
                    <w:pStyle w:val="BodyText"/>
                  </w:pPr>
                  <w:pPr>
                    <w:ind w:left="600"/>
                  </w:pPr>
                  <w:r>
                    <w:t xml:space="preserve">(b)	For domestic violence matters, the local council court may hear cases on days that are not ordinarily working days.</w:t>
                  </w:r>
                </w:p>
                <w:p>
                  <w:pPr>
                    <w:pStyle w:val="BodyText"/>
                  </w:pPr>
                  <w:r>
                    <w:rPr>
                      <w:b/>
                    </w:rPr>
                    <w:t xml:space="preserve">Police</w:t>
                  </w:r>
                </w:p>
                <w:p>
                  <w:pPr>
                    <w:pStyle w:val="BodyText"/>
                  </w:pPr>
                  <w:r>
                    <w:t xml:space="preserve">Section 7 Domestic Violence Act</w:t>
                  </w:r>
                </w:p>
                <w:p>
                  <w:pPr>
                    <w:pStyle w:val="BodyText"/>
                  </w:pPr>
                  <w:r>
                    <w:t xml:space="preserve">A complaint of domestic abuse may be made to a police officer, who must thereafter assist the victim in various ways.</w:t>
                  </w:r>
                </w:p>
                <w:p>
                  <w:pPr>
                    <w:pStyle w:val="BodyText"/>
                  </w:pPr>
                  <w:r>
                    <w:rPr>
                      <w:b/>
                    </w:rPr>
                    <w:t xml:space="preserve">Magistrates' court</w:t>
                  </w:r>
                </w:p>
                <w:p>
                  <w:pPr>
                    <w:pStyle w:val="BodyText"/>
                  </w:pPr>
                  <w:r>
                    <w:t xml:space="preserve">Section 9 Domestic Violence Act</w:t>
                  </w:r>
                </w:p>
                <w:p>
                  <w:pPr>
                    <w:pStyle w:val="BodyText"/>
                  </w:pPr>
                  <w:pPr>
                    <w:ind w:left="600"/>
                  </w:pPr>
                  <w:r>
                    <w:t xml:space="preserve">(a)	Every magistrates' court may hear and determine a matter of domestic violence in terms of the Domestic Violence Act.</w:t>
                  </w:r>
                </w:p>
                <w:p>
                  <w:pPr>
                    <w:pStyle w:val="BodyText"/>
                  </w:pPr>
                  <w:pPr>
                    <w:ind w:left="600"/>
                  </w:pPr>
                  <w:r>
                    <w:t xml:space="preserve">(b)	The court may issue a protection order.</w:t>
                  </w:r>
                </w:p>
                <w:p>
                  <w:pPr>
                    <w:pStyle w:val="BodyText"/>
                  </w:pPr>
                  <w:pPr>
                    <w:ind w:left="600"/>
                  </w:pPr>
                  <w:r>
                    <w:t xml:space="preserve">(c)	The court is to apply the procedure prescribed by the Family and Children Court Rules in all domestic violence matters.</w:t>
                  </w:r>
                </w:p>
                <w:p>
                  <w:pPr>
                    <w:pStyle w:val="BodyText"/>
                  </w:pPr>
                  <w:r>
                    <w:rPr>
                      <w:b/>
                    </w:rPr>
                    <w:t xml:space="preserve">Application for a protection order</w:t>
                  </w:r>
                </w:p>
                <w:p>
                  <w:pPr>
                    <w:pStyle w:val="BodyText"/>
                  </w:pPr>
                  <w:r>
                    <w:t xml:space="preserve">Section 10 Domestic Violence Act</w:t>
                  </w:r>
                </w:p>
                <w:p>
                  <w:pPr>
                    <w:pStyle w:val="BodyText"/>
                  </w:pPr>
                  <w:pPr>
                    <w:ind w:left="600"/>
                  </w:pPr>
                  <w:r>
                    <w:t xml:space="preserve">(a)	A victim or representative of a victim may apply to the magistrates' court for a protection order.</w:t>
                  </w:r>
                </w:p>
                <w:p>
                  <w:pPr>
                    <w:pStyle w:val="BodyText"/>
                  </w:pPr>
                  <w:pPr>
                    <w:ind w:left="600"/>
                  </w:pPr>
                  <w:r>
                    <w:t xml:space="preserve">(b)	This application must be supported by an affidavit and any reports or documents that will be relied on must be attached.</w:t>
                  </w:r>
                </w:p>
                <w:p>
                  <w:pPr>
                    <w:pStyle w:val="BodyText"/>
                  </w:pPr>
                  <w:pPr>
                    <w:ind w:left="600"/>
                  </w:pPr>
                  <w:r>
                    <w:t xml:space="preserve">(c)	This application will be in Form 1 of the third schedule.</w:t>
                  </w:r>
                </w:p>
                <w:p>
                  <w:pPr>
                    <w:pStyle w:val="BodyText"/>
                  </w:pPr>
                  <w:pPr>
                    <w:ind w:left="600"/>
                  </w:pPr>
                  <w:r>
                    <w:t xml:space="preserve">(d)	Upon receiving an application under this section, the court will issue a summons to the respondent directing him/her to appear in court.</w:t>
                  </w:r>
                </w:p>
                <w:p>
                  <w:pPr>
                    <w:pStyle w:val="BodyText"/>
                  </w:pPr>
                  <w:pPr>
                    <w:ind w:left="600"/>
                  </w:pPr>
                  <w:r>
                    <w:t xml:space="preserve">(e)	An application for a protection order will be heard by the court within 48 hours after filing the application.</w:t>
                  </w:r>
                </w:p>
                <w:p>
                  <w:pPr>
                    <w:pStyle w:val="BodyText"/>
                  </w:pPr>
                  <w:pPr>
                    <w:ind w:left="600"/>
                  </w:pPr>
                  <w:r>
                    <w:t xml:space="preserve">(f)	An application may be brought outside ordinary court hours or on a day that is not an ordinary court day where the court is satisfied that the victim may suffer undue hardship if the application is not dealt with immediately.</w:t>
                  </w:r>
                </w:p>
                <w:p>
                  <w:pPr>
                    <w:pStyle w:val="BodyText"/>
                  </w:pPr>
                  <w:r>
                    <w:rPr>
                      <w:b/>
                    </w:rPr>
                    <w:t xml:space="preserve">Interim protection order</w:t>
                  </w:r>
                </w:p>
                <w:p>
                  <w:pPr>
                    <w:pStyle w:val="BodyText"/>
                  </w:pPr>
                  <w:r>
                    <w:t xml:space="preserve">Section 11 Domestic Violence Act</w:t>
                  </w:r>
                </w:p>
                <w:p>
                  <w:pPr>
                    <w:pStyle w:val="BodyText"/>
                  </w:pPr>
                  <w:pPr>
                    <w:ind w:left="600"/>
                  </w:pPr>
                  <w:r>
                    <w:t xml:space="preserve">(a)	Where the perpetrator has committed, is committing or is threatening to commit an act of domestic violence and it is necessary or desirable to issue an immediate order to protect the victim from harm or discomfort or inconvenience because of the domestic violence, then the court will issue an interim protection order.</w:t>
                  </w:r>
                </w:p>
                <w:p>
                  <w:pPr>
                    <w:pStyle w:val="BodyText"/>
                  </w:pPr>
                  <w:pPr>
                    <w:ind w:left="600"/>
                  </w:pPr>
                  <w:r>
                    <w:t xml:space="preserve">(b)	The maximum duration for an interim order is three months, but the court may prescribe a lesser period.</w:t>
                  </w:r>
                </w:p>
                <w:p>
                  <w:pPr>
                    <w:pStyle w:val="BodyText"/>
                  </w:pPr>
                  <w:r>
                    <w:rPr>
                      <w:b/>
                    </w:rPr>
                    <w:t xml:space="preserve">Issuing a protection order</w:t>
                  </w:r>
                </w:p>
                <w:p>
                  <w:pPr>
                    <w:pStyle w:val="BodyText"/>
                  </w:pPr>
                  <w:r>
                    <w:t xml:space="preserve">Section 12 Domestic Violence Act</w:t>
                  </w:r>
                </w:p>
                <w:p>
                  <w:pPr>
                    <w:pStyle w:val="BodyText"/>
                  </w:pPr>
                  <w:pPr>
                    <w:ind w:left="600"/>
                  </w:pPr>
                  <w:r>
                    <w:t xml:space="preserve">(a)	On the hearing date for an interim protection order, the court may issue a protection order.</w:t>
                  </w:r>
                </w:p>
                <w:p>
                  <w:pPr>
                    <w:pStyle w:val="BodyText"/>
                  </w:pPr>
                  <w:pPr>
                    <w:ind w:left="600"/>
                  </w:pPr>
                  <w:r>
                    <w:t xml:space="preserve">(b)	A protection order may be issued ex parte if the court is satisfied that the perpetrator has been served with a notice of the application for the order.</w:t>
                  </w:r>
                </w:p>
                <w:p>
                  <w:pPr>
                    <w:pStyle w:val="BodyText"/>
                  </w:pPr>
                  <w:pPr>
                    <w:ind w:left="600"/>
                  </w:pPr>
                  <w:r>
                    <w:t xml:space="preserve">(c)	A protection order is to be served immediately (not later than 48 hours) upon the perpetrator.</w:t>
                  </w:r>
                </w:p>
                <w:p>
                  <w:pPr>
                    <w:pStyle w:val="BodyText"/>
                  </w:pPr>
                  <w:r>
                    <w:rPr>
                      <w:b/>
                    </w:rPr>
                    <w:t xml:space="preserve">Contents of a protection order</w:t>
                  </w:r>
                </w:p>
                <w:p>
                  <w:pPr>
                    <w:pStyle w:val="BodyText"/>
                  </w:pPr>
                  <w:r>
                    <w:t xml:space="preserve">Section 13 Domestic Violence Act</w:t>
                  </w:r>
                </w:p>
                <w:p>
                  <w:pPr>
                    <w:pStyle w:val="BodyText"/>
                  </w:pPr>
                  <w:r>
                    <w:t xml:space="preserve">Where appropriate, a protection order may achieve the following:</w:t>
                  </w:r>
                </w:p>
                <w:p>
                  <w:pPr>
                    <w:pStyle w:val="BodyText"/>
                  </w:pPr>
                  <w:pPr>
                    <w:ind w:left="600"/>
                  </w:pPr>
                  <w:r>
                    <w:t xml:space="preserve">(a)	prohibit the perpetrator from committing or enlisting the help of another person to commit an act of domestic violence</w:t>
                  </w:r>
                </w:p>
                <w:p>
                  <w:pPr>
                    <w:pStyle w:val="BodyText"/>
                  </w:pPr>
                  <w:pPr>
                    <w:ind w:left="600"/>
                  </w:pPr>
                  <w:r>
                    <w:t xml:space="preserve">(b)	direct the perpetrator to stay away from the premises or place where the victim resides or any part of the premises or place where the victim works, frequents, attends or any part of the premises or place</w:t>
                  </w:r>
                </w:p>
                <w:p>
                  <w:pPr>
                    <w:pStyle w:val="BodyText"/>
                  </w:pPr>
                  <w:pPr>
                    <w:ind w:left="600"/>
                  </w:pPr>
                  <w:r>
                    <w:t xml:space="preserve">(c)	prohibit the perpetrator from entering or approaching any place or premises where the victim works, frequents, attends or any part of the premises or place</w:t>
                  </w:r>
                </w:p>
                <w:p>
                  <w:pPr>
                    <w:pStyle w:val="BodyText"/>
                  </w:pPr>
                  <w:pPr>
                    <w:ind w:left="600"/>
                  </w:pPr>
                  <w:r>
                    <w:t xml:space="preserve">(d)	direct the perpetrator to pay maintenance in respect of the victim's needs or the needs of any child or dependent of the perpetrator, including necessaries</w:t>
                  </w:r>
                </w:p>
                <w:p>
                  <w:pPr>
                    <w:pStyle w:val="BodyText"/>
                  </w:pPr>
                  <w:pPr>
                    <w:ind w:left="600"/>
                  </w:pPr>
                  <w:r>
                    <w:t xml:space="preserve">(e)	award the temporary custody of any child or dependent of the perpetrator to any person or institution and regulate the rights of access by the perpetrator to the child or dependent</w:t>
                  </w:r>
                </w:p>
                <w:p>
                  <w:pPr>
                    <w:pStyle w:val="BodyText"/>
                  </w:pPr>
                  <w:pPr>
                    <w:ind w:left="600"/>
                  </w:pPr>
                  <w:r>
                    <w:t xml:space="preserve">(f)	direct the perpetrator to afford the victim or any child or dependent of the victim access to their place of residence and use of the facilities associated with it</w:t>
                  </w:r>
                </w:p>
                <w:p>
                  <w:pPr>
                    <w:pStyle w:val="BodyText"/>
                  </w:pPr>
                  <w:pPr>
                    <w:ind w:left="600"/>
                  </w:pPr>
                  <w:r>
                    <w:t xml:space="preserve">(g)	direct the perpetrator to do or omit to do any act or thing that the court considers necessary or desirable for the well-being of the victim of any child or dependent of the victim</w:t>
                  </w:r>
                </w:p>
                <w:p>
                  <w:pPr>
                    <w:pStyle w:val="BodyText"/>
                  </w:pPr>
                  <w:pPr>
                    <w:ind w:left="600"/>
                  </w:pPr>
                  <w:r>
                    <w:t xml:space="preserve">(h)	where the court considers it expedient to do so, issue an order to the perpetrator to vacate the matrimonial home or another home</w:t>
                  </w:r>
                </w:p>
                <w:p>
                  <w:pPr>
                    <w:pStyle w:val="BodyText"/>
                  </w:pPr>
                  <w:pPr>
                    <w:ind w:left="600"/>
                  </w:pPr>
                  <w:r>
                    <w:t xml:space="preserve">(i)	the protection order will remain in force until it is varied or revoked by a competent court</w:t>
                  </w:r>
                </w:p>
                <w:p>
                  <w:pPr>
                    <w:pStyle w:val="BodyText"/>
                  </w:pPr>
                  <w:r>
                    <w:rPr>
                      <w:b/>
                    </w:rPr>
                    <w:t xml:space="preserve">Variation, revocation or discharge of orders</w:t>
                  </w:r>
                </w:p>
                <w:p>
                  <w:pPr>
                    <w:pStyle w:val="BodyText"/>
                  </w:pPr>
                  <w:r>
                    <w:t xml:space="preserve">Section 14 Domestic Violence Act</w:t>
                  </w:r>
                </w:p>
                <w:p>
                  <w:pPr>
                    <w:pStyle w:val="BodyText"/>
                  </w:pPr>
                  <w:pPr>
                    <w:ind w:left="600"/>
                  </w:pPr>
                  <w:r>
                    <w:t xml:space="preserve">(a)	A court may vary, revoke or discharge an interim protection order or a protection order on an application or notice by a complainant or respondent.</w:t>
                  </w:r>
                </w:p>
                <w:p>
                  <w:pPr>
                    <w:pStyle w:val="BodyText"/>
                  </w:pPr>
                  <w:pPr>
                    <w:ind w:left="600"/>
                  </w:pPr>
                  <w:r>
                    <w:t xml:space="preserve">(b)	Where the court is satisfied that good cause has been shown, it may vary, revoke or discharge any interim protection order or protection order or it may extend the order.</w:t>
                  </w:r>
                </w:p>
                <w:p>
                  <w:pPr>
                    <w:pStyle w:val="BodyText"/>
                  </w:pPr>
                  <w:r>
                    <w:rPr>
                      <w:b/>
                    </w:rPr>
                    <w:t xml:space="preserve">Family and children court</w:t>
                  </w:r>
                </w:p>
                <w:p>
                  <w:pPr>
                    <w:pStyle w:val="BodyText"/>
                  </w:pPr>
                  <w:r>
                    <w:t xml:space="preserve">Section 17 Domestic Violence Act</w:t>
                  </w:r>
                </w:p>
                <w:p>
                  <w:pPr>
                    <w:pStyle w:val="BodyText"/>
                  </w:pPr>
                  <w:pPr>
                    <w:ind w:left="600"/>
                  </w:pPr>
                  <w:r>
                    <w:t xml:space="preserve">(a)	A family and children court may hear and determine a matter of domestic violence under the Domestic Violence Act whether or not it involves a child.</w:t>
                  </w:r>
                </w:p>
                <w:p>
                  <w:pPr>
                    <w:pStyle w:val="BodyText"/>
                  </w:pPr>
                  <w:pPr>
                    <w:ind w:left="600"/>
                  </w:pPr>
                  <w:r>
                    <w:t xml:space="preserve">(b)	Furthermore, a family and children court may issue an interim protection order or a protection order in the same manner as a magistrates' court.</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4.	Protection for domestic violence victims and relief granted</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	Civil protection orders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4.1.1 Are there civil protection orders available to victims of domestic abuse?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Civil protection orders are provided for in the Domestic Violence Act. There are two types of protection orders: interim protection orders and protection orders. Sections 10 to 16 of the Domestic Violence Act provide for the following: (i) the application for protection orders; (ii) the issuance of protection orders; (iii) the contents of protection orders; (iv) any application for the variation of protection orders; and (v) the enforcement of protection orders. </w:t>
                  </w:r>
                </w:p>
                <w:p>
                  <w:pPr>
                    <w:pStyle w:val="BodyText"/>
                  </w:pPr>
                  <w:r>
                    <w:t xml:space="preserve">Any victim or representative of the victim may apply to a magistrates' court for a protection order in the form specified in the third schedule of the Domestic Violence Act (Form 1).</w:t>
                  </w:r>
                  <w:r>
                    <w:rPr>
                      <w:color w:val="8DB3E2"/>
                      <w:vertAlign w:val="superscript"/>
                    </w:rPr>
                    <w:t xml:space="preserve">[13]</w:t>
                  </w:r>
                  <w:r>
                    <w:rPr>
                      <w:color w:val="8DB3E2"/>
                      <w:vertAlign w:val="superscript"/>
                    </w:rPr>
                    <w:t xml:space="preserve"> </w:t>
                  </w:r>
                  <w:r>
                    <w:t xml:space="preserve">The application should be supported by an affidavit and any reports or documents to be relied upon.</w:t>
                  </w:r>
                  <w:r>
                    <w:rPr>
                      <w:color w:val="8DB3E2"/>
                      <w:vertAlign w:val="superscript"/>
                    </w:rPr>
                    <w:t xml:space="preserve">[14]</w:t>
                  </w:r>
                  <w:r>
                    <w:t xml:space="preserve"> Section 2 of the Domestic Violence Act defines a "victim" as a person in a domestic relationship who directly or indirectly suffers from threatened or actual domestic violence.</w:t>
                  </w:r>
                </w:p>
                <w:p>
                  <w:pPr>
                    <w:pStyle w:val="BodyText"/>
                  </w:pPr>
                  <w:r>
                    <w:t xml:space="preserve">Generally, an application for a protection order will be heard by the court within 48 hours after filing the application. However, an application may be brought outside ordinary court hours or on a day that is not an ordinary court day where the court is satisfied that the victim may suffer undue hardship if the application in not dealt with immediately.</w:t>
                  </w:r>
                  <w:r>
                    <w:rPr>
                      <w:color w:val="8DB3E2"/>
                      <w:vertAlign w:val="superscript"/>
                    </w:rPr>
                    <w:t xml:space="preserve">[15]</w:t>
                  </w:r>
                </w:p>
                <w:p>
                  <w:pPr>
                    <w:pStyle w:val="BodyText"/>
                  </w:pPr>
                  <w:r>
                    <w:t xml:space="preserve">Section 13 of the Domestic Violence Act provides for the contents of a protection order, which includes temporary custody and child support orders for the following: (i) any child; (ii) a dependent of the victim; or (iii) a dependent of the perpetrator. The Domestic Violence Act does not provide a definition for a "child" or "dependent" but it may be interpreted to include minors (and possibly adults) who are not the biological children of the perpetrator or victim. However, the courts have not yet confirmed this. A point of concern under Section 13 is that certain provisions refer to the dependent of the perpetrator and others to the dependent of the victim. This may result in protection not being adequately provided to all persons in a given household who may require it.</w:t>
                  </w:r>
                </w:p>
                <w:p>
                  <w:pPr>
                    <w:pStyle w:val="BodyText"/>
                  </w:pPr>
                  <w:r>
                    <w:t xml:space="preserve">The following provisions of Section 13 of the Domestic Violence Act relate to child support and child custody in relation to the content of a protection order:</w:t>
                  </w:r>
                </w:p>
                <w:p>
                  <w:pPr>
                    <w:pStyle w:val="BodyText"/>
                  </w:pPr>
                  <w:pPr>
                    <w:pStyle w:val="ListParagraph"/>
                    <w:numPr>
                      <w:ilvl w:val="0"/>
                      <w:numId w:val="19"/>
                    </w:numPr>
                  </w:pPr>
                  <w:r>
                    <w:t xml:space="preserve">Section 13(d): The perpetrator may be directed to pay maintenance in respect of the victim's needs or the needs of any child or dependent of the perpetrator, including necessaries.</w:t>
                  </w:r>
                </w:p>
                <w:p>
                  <w:pPr>
                    <w:pStyle w:val="BodyText"/>
                  </w:pPr>
                  <w:pPr>
                    <w:pStyle w:val="ListParagraph"/>
                    <w:numPr>
                      <w:ilvl w:val="0"/>
                      <w:numId w:val="19"/>
                    </w:numPr>
                  </w:pPr>
                  <w:r>
                    <w:t xml:space="preserve">Section 13(e): Temporary custody of any child or dependent of the perpetrator may be awarded to any person or institution and may regulate the rights of access by the perpetrator to the child or dependent.</w:t>
                  </w:r>
                </w:p>
                <w:p>
                  <w:pPr>
                    <w:pStyle w:val="BodyText"/>
                  </w:pPr>
                  <w:pPr>
                    <w:pStyle w:val="ListParagraph"/>
                    <w:numPr>
                      <w:ilvl w:val="0"/>
                      <w:numId w:val="19"/>
                    </w:numPr>
                  </w:pPr>
                  <w:r>
                    <w:t xml:space="preserve">Section 13(f): The perpetrator may be directed to afford the victim or any child or dependent of the victim access to their place of residence and to use the facilities associated with it.</w:t>
                  </w:r>
                </w:p>
                <w:p>
                  <w:pPr>
                    <w:pStyle w:val="BodyText"/>
                  </w:pPr>
                  <w:pPr>
                    <w:pStyle w:val="ListParagraph"/>
                    <w:numPr>
                      <w:ilvl w:val="0"/>
                      <w:numId w:val="19"/>
                    </w:numPr>
                  </w:pPr>
                  <w:r>
                    <w:t xml:space="preserve">Section 13(g): The perpetrator may be directed to do or omit to do any act or thing that the court considers necessary or desirable for the well-being of the victim or any child or dependent of the victim.</w:t>
                  </w:r>
                </w:p>
                <w:p>
                  <w:pPr>
                    <w:pStyle w:val="BodyText"/>
                  </w:pPr>
                  <w:r>
                    <w:t xml:space="preserve">Section 13 of the Domestic Violence Act states that where the victim resides on any part of the premises, the perpetrator may be prohibited from entering or approaching any place or premises where the victim works, frequents, attends or any part of the premises or place if the prohibition is in the best interests of the victim. In issuing a protection order, where it considers it expedient to do so, the court may issue an order to the perpetrator to vacate the matrimonial home or another home.</w:t>
                  </w:r>
                  <w:r>
                    <w:rPr>
                      <w:color w:val="8DB3E2"/>
                      <w:vertAlign w:val="superscript"/>
                    </w:rPr>
                    <w:t xml:space="preserve">[16]</w:t>
                  </w:r>
                  <w:r>
                    <w:t xml:space="preserve"> The order may only be issued after the consideration of a social report prepared by the social welfare officer.</w:t>
                  </w:r>
                  <w:r>
                    <w:rPr>
                      <w:color w:val="8DB3E2"/>
                      <w:vertAlign w:val="superscript"/>
                    </w:rPr>
                    <w:t xml:space="preserve">[17]</w:t>
                  </w:r>
                </w:p>
                <w:p>
                  <w:pPr>
                    <w:pStyle w:val="BodyText"/>
                  </w:pPr>
                  <w:r>
                    <w:rPr>
                      <w:b/>
                    </w:rPr>
                    <w:t xml:space="preserve">Types of civil protection orders</w:t>
                  </w:r>
                </w:p>
                <w:p>
                  <w:pPr>
                    <w:pStyle w:val="BodyText"/>
                  </w:pPr>
                  <w:r>
                    <w:t xml:space="preserve">In terms of Section 11 of the Domestic Violence Act, both interim protection orders and protection orders can be obtained. Although Section 10(1) states that a victim or the representative of a victim may apply to a magistrates' court for a protection order, Section 12(1) implies that an application must first be made for an interim protection order.</w:t>
                  </w:r>
                </w:p>
                <w:p>
                  <w:pPr>
                    <w:pStyle w:val="BodyText"/>
                  </w:pPr>
                  <w:r>
                    <w:rPr>
                      <w:b/>
                    </w:rPr>
                    <w:t xml:space="preserve">Interim protection orders</w:t>
                  </w:r>
                </w:p>
                <w:p>
                  <w:pPr>
                    <w:pStyle w:val="BodyText"/>
                  </w:pPr>
                  <w:r>
                    <w:t xml:space="preserve">In order for a court to issue an interim protection order, it must be satisfied of the following:</w:t>
                  </w:r>
                </w:p>
                <w:p>
                  <w:pPr>
                    <w:pStyle w:val="BodyText"/>
                  </w:pPr>
                  <w:pPr>
                    <w:pStyle w:val="ListParagraph"/>
                    <w:numPr>
                      <w:ilvl w:val="0"/>
                      <w:numId w:val="20"/>
                    </w:numPr>
                  </w:pPr>
                  <w:r>
                    <w:t xml:space="preserve">the perpetrator has committed, is committing or is threatening to commit an act of domestic violence</w:t>
                  </w:r>
                </w:p>
                <w:p>
                  <w:pPr>
                    <w:pStyle w:val="BodyText"/>
                  </w:pPr>
                  <w:pPr>
                    <w:pStyle w:val="ListParagraph"/>
                    <w:numPr>
                      <w:ilvl w:val="0"/>
                      <w:numId w:val="20"/>
                    </w:numPr>
                  </w:pPr>
                  <w:r>
                    <w:t xml:space="preserve">it is necessary or desirable to issue an immediate order to protect the victim from harm or discomfort or inconvenience because of the domestic violence</w:t>
                  </w:r>
                </w:p>
                <w:p>
                  <w:pPr>
                    <w:pStyle w:val="BodyText"/>
                  </w:pPr>
                  <w:r>
                    <w:t xml:space="preserve">An interim protection order has a maximum duration of three months. It will contain any direction, prohibition or order and will specify a hearing date for the application of a protection order.</w:t>
                  </w:r>
                  <w:r>
                    <w:rPr>
                      <w:color w:val="8DB3E2"/>
                      <w:vertAlign w:val="superscript"/>
                    </w:rPr>
                    <w:t xml:space="preserve">[18]</w:t>
                  </w:r>
                  <w:r>
                    <w:t xml:space="preserve"> A protection order will remain in force until it is varied or revoked by a competent court.</w:t>
                  </w:r>
                  <w:r>
                    <w:rPr>
                      <w:color w:val="8DB3E2"/>
                      <w:vertAlign w:val="superscript"/>
                    </w:rPr>
                    <w:t xml:space="preserve">[19]</w:t>
                  </w:r>
                  <w:r>
                    <w:t xml:space="preserve"> Further, it is not stated in the Domestic Violence Act and it is therefore unclear whether emergency orders also extend protection from abuse and intimidation to family members of the victim.</w:t>
                  </w:r>
                </w:p>
                <w:p>
                  <w:pPr>
                    <w:pStyle w:val="BodyText"/>
                  </w:pPr>
                  <w:r>
                    <w:t xml:space="preserve">An interim protection order will specify a hearing date for the application for a protection order. On the hearing date specified in an interim protection order, the court may issue a protection order where the court is satisfied that an act of domestic violence has been committed, is threatened or is being committed by the perpetrator.</w:t>
                  </w:r>
                </w:p>
                <w:p>
                  <w:pPr>
                    <w:pStyle w:val="BodyText"/>
                  </w:pPr>
                  <w:r>
                    <w:t xml:space="preserve">A note of concern may be raised in respect of Section 11(7), which provides that, where appropriate, a court may order that the victim and perpetrator and any other affected member of the family be subjected to counseling, mediation or any other intervention the court deems fit. However, this is in the court's sole discretion and, unlike other provisions, it does not require a social report from a social welfare representative, as contained in Section 13(3).</w:t>
                  </w:r>
                </w:p>
                <w:p>
                  <w:pPr>
                    <w:pStyle w:val="BodyText"/>
                  </w:pPr>
                  <w:r>
                    <w:rPr>
                      <w:b/>
                    </w:rPr>
                    <w:t xml:space="preserve">Protection orders</w:t>
                  </w:r>
                </w:p>
                <w:p>
                  <w:pPr>
                    <w:pStyle w:val="BodyText"/>
                  </w:pPr>
                  <w:r>
                    <w:t xml:space="preserve">To issue a protection order, Section 12(1) of the Domestic Violence Act provides that, on the hearing date specified in an interim protection order, the court may issue a protection order where the court is satisfied that an act of domestic violence has been committed, is threatened or is being committed by the perpetrator.</w:t>
                  </w:r>
                </w:p>
                <w:p>
                  <w:pPr>
                    <w:pStyle w:val="BodyText"/>
                  </w:pPr>
                  <w:r>
                    <w:rPr>
                      <w:i/>
                    </w:rPr>
                    <w:t xml:space="preserve">Ex parte</w:t>
                  </w:r>
                  <w:r>
                    <w:t xml:space="preserve"> orders</w:t>
                  </w:r>
                  <w:r>
                    <w:rPr>
                      <w:color w:val="8DB3E2"/>
                      <w:vertAlign w:val="superscript"/>
                    </w:rPr>
                    <w:t xml:space="preserve">[20]</w:t>
                  </w:r>
                  <w:r>
                    <w:rPr>
                      <w:color w:val="8DB3E2"/>
                      <w:vertAlign w:val="superscript"/>
                    </w:rPr>
                    <w:t xml:space="preserve"> </w:t>
                  </w:r>
                  <w:r>
                    <w:t xml:space="preserve">are permitted without the aggressor being present. In terms of Section 12, a protection order may be issued </w:t>
                  </w:r>
                  <w:r>
                    <w:rPr>
                      <w:i/>
                    </w:rPr>
                    <w:t xml:space="preserve">ex parte</w:t>
                  </w:r>
                  <w:r>
                    <w:t xml:space="preserve"> if the court is satisfied that the perpetrator has been served with a notice of the application for the order.</w:t>
                  </w:r>
                </w:p>
                <w:p>
                  <w:pPr>
                    <w:pStyle w:val="BodyText"/>
                  </w:pPr>
                  <w:r>
                    <w:t xml:space="preserve">Section 10 of the Domestic Violence Act provides the following regarding an application for a protection order:</w:t>
                  </w:r>
                </w:p>
                <w:p>
                  <w:pPr>
                    <w:pStyle w:val="BodyText"/>
                  </w:pPr>
                  <w:pPr>
                    <w:pStyle w:val="ListParagraph"/>
                    <w:numPr>
                      <w:ilvl w:val="0"/>
                      <w:numId w:val="21"/>
                    </w:numPr>
                  </w:pPr>
                  <w:r>
                    <w:t xml:space="preserve">A victim or representative of a victim may make the application to the magistrates' court.</w:t>
                  </w:r>
                </w:p>
                <w:p>
                  <w:pPr>
                    <w:pStyle w:val="BodyText"/>
                  </w:pPr>
                  <w:pPr>
                    <w:pStyle w:val="ListParagraph"/>
                    <w:numPr>
                      <w:ilvl w:val="0"/>
                      <w:numId w:val="21"/>
                    </w:numPr>
                  </w:pPr>
                  <w:r>
                    <w:t xml:space="preserve">The application should be supported by an affidavit and any reports or documents to be relied upon should be attached to the application.</w:t>
                  </w:r>
                </w:p>
                <w:p>
                  <w:pPr>
                    <w:pStyle w:val="BodyText"/>
                  </w:pPr>
                  <w:pPr>
                    <w:pStyle w:val="ListParagraph"/>
                    <w:numPr>
                      <w:ilvl w:val="0"/>
                      <w:numId w:val="21"/>
                    </w:numPr>
                  </w:pPr>
                  <w:r>
                    <w:t xml:space="preserve">The application should be specified in Form 1 of the third schedule.</w:t>
                  </w:r>
                </w:p>
                <w:p>
                  <w:pPr>
                    <w:pStyle w:val="BodyText"/>
                  </w:pPr>
                  <w:pPr>
                    <w:pStyle w:val="ListParagraph"/>
                    <w:numPr>
                      <w:ilvl w:val="0"/>
                      <w:numId w:val="21"/>
                    </w:numPr>
                  </w:pPr>
                  <w:r>
                    <w:t xml:space="preserve">On receiving an application under this section, the court will issue a summons to the respondent directing him/her to appear in court on the date named in the summons in Form 2 of the third schedule.</w:t>
                  </w:r>
                </w:p>
                <w:p>
                  <w:pPr>
                    <w:pStyle w:val="BodyText"/>
                  </w:pPr>
                  <w:pPr>
                    <w:pStyle w:val="ListParagraph"/>
                    <w:numPr>
                      <w:ilvl w:val="0"/>
                      <w:numId w:val="21"/>
                    </w:numPr>
                  </w:pPr>
                  <w:r>
                    <w:t xml:space="preserve">The application will be heard by the court within 48 hours after filing the application.</w:t>
                  </w:r>
                </w:p>
                <w:p>
                  <w:pPr>
                    <w:pStyle w:val="BodyText"/>
                  </w:pPr>
                  <w:pPr>
                    <w:pStyle w:val="ListParagraph"/>
                    <w:numPr>
                      <w:ilvl w:val="0"/>
                      <w:numId w:val="21"/>
                    </w:numPr>
                  </w:pPr>
                  <w:r>
                    <w:t xml:space="preserve">An application may be brought outside ordinary court hours or on a day that is not an ordinary court day where the court is satisfied that the victim may suffer undue hardship if the application is not dealt with immediately.</w:t>
                  </w:r>
                </w:p>
                <w:p>
                  <w:pPr>
                    <w:pStyle w:val="BodyText"/>
                  </w:pPr>
                  <w:r>
                    <w:rPr>
                      <w:b/>
                    </w:rPr>
                    <w:t xml:space="preserve">Enforcement of protection orders</w:t>
                  </w:r>
                </w:p>
                <w:p>
                  <w:pPr>
                    <w:pStyle w:val="BodyText"/>
                  </w:pPr>
                  <w:r>
                    <w:t xml:space="preserve">Section 16 of the Domestic Violence Act provides the following for the enforcement of orders:</w:t>
                  </w:r>
                </w:p>
                <w:p>
                  <w:pPr>
                    <w:pStyle w:val="BodyText"/>
                  </w:pPr>
                  <w:pPr>
                    <w:pStyle w:val="ListParagraph"/>
                    <w:numPr>
                      <w:ilvl w:val="0"/>
                      <w:numId w:val="22"/>
                    </w:numPr>
                  </w:pPr>
                  <w:r>
                    <w:t xml:space="preserve">Where the perpetrator breaches any term or condition of an interim protection order or a protection order, the victim or the victim's representative may apply to the court for a remedy.</w:t>
                  </w:r>
                </w:p>
                <w:p>
                  <w:pPr>
                    <w:pStyle w:val="BodyText"/>
                  </w:pPr>
                  <w:pPr>
                    <w:pStyle w:val="ListParagraph"/>
                    <w:numPr>
                      <w:ilvl w:val="0"/>
                      <w:numId w:val="22"/>
                    </w:numPr>
                  </w:pPr>
                  <w:r>
                    <w:t xml:space="preserve">An application for a remedy should be accompanied by one or more affidavits made by a person or persons who can depose to the facts alleged.</w:t>
                  </w:r>
                </w:p>
                <w:p>
                  <w:pPr>
                    <w:pStyle w:val="BodyText"/>
                  </w:pPr>
                  <w:pPr>
                    <w:pStyle w:val="ListParagraph"/>
                    <w:numPr>
                      <w:ilvl w:val="0"/>
                      <w:numId w:val="22"/>
                    </w:numPr>
                  </w:pPr>
                  <w:r>
                    <w:t xml:space="preserve">The application for a remedy should be in Form 4 specified in the third schedule.</w:t>
                  </w:r>
                </w:p>
                <w:p>
                  <w:pPr>
                    <w:pStyle w:val="BodyText"/>
                  </w:pPr>
                  <w:pPr>
                    <w:pStyle w:val="ListParagraph"/>
                    <w:numPr>
                      <w:ilvl w:val="0"/>
                      <w:numId w:val="22"/>
                    </w:numPr>
                  </w:pPr>
                  <w:r>
                    <w:t xml:space="preserve">A person who fails to comply with the terms and conditions of an order commits an offense and is liable on conviction to a fine not exceeding 48 currency points or imprisonment not exceeding two years, or both.</w:t>
                  </w:r>
                </w:p>
                <w:p>
                  <w:pPr>
                    <w:pStyle w:val="BodyText"/>
                  </w:pPr>
                  <w:pPr>
                    <w:pStyle w:val="ListParagraph"/>
                    <w:numPr>
                      <w:ilvl w:val="0"/>
                      <w:numId w:val="22"/>
                    </w:numPr>
                  </w:pPr>
                  <w:r>
                    <w:t xml:space="preserve">The court may give any other remedy it considers fit.</w:t>
                  </w:r>
                </w:p>
                <w:p>
                  <w:pPr>
                    <w:pStyle w:val="BodyText"/>
                  </w:pPr>
                  <w:r>
                    <w:t xml:space="preserve">The law is clear on the documentation required to apply for a protection order and it states the following: (i) an affidavit regarding the breach of any term or condition of an interim protection order or protection order is required; and (ii) a completed Form 4 of the third schedule is required.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4.1.2 Who can petition for civil protection orders?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Please refer to section 4.1.1.</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4.1.3 Are there temporary custody of a child or child support orders?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Please refer to section 4.1.1.</w:t>
                  </w:r>
                </w:p>
                <w:p>
                  <w:pPr>
                    <w:pStyle w:val="BodyText"/>
                  </w:pPr>
                  <w:r>
                    <w:t xml:space="preserve"> </w:t>
                  </w:r>
                </w:p>
                <w:p>
                  <w:pPr>
                    <w:pStyle w:val="BodyText"/>
                  </w:pP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4.1.4 Is there a provision to order the abuser to move out or stay away from places that the victims frequent?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Please refer to section 4.1.1.</w:t>
                  </w:r>
                </w:p>
                <w:p>
                  <w:pPr>
                    <w:pStyle w:val="BodyText"/>
                  </w:pP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4.1.5 Are there any other types of emergency, preventive and civil protection orders?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Please refer to section 4.1.1. </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4.1.6 Can these orders be requested by direct or indirect victims or legal representatives in children's cases?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Please refer to section 4.1.1.</w:t>
                  </w:r>
                </w:p>
                <w:p>
                  <w:pPr>
                    <w:pStyle w:val="BodyText"/>
                  </w:pP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4.1.7 Are there different types of civil protection orders, e.g., for a short- term period?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Please refer to section 4.1.1.</w:t>
                  </w:r>
                </w:p>
                <w:p>
                  <w:pPr>
                    <w:pStyle w:val="BodyText"/>
                  </w:pP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4.1.8 Are ex parte orders permitted without the aggressor being present?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Please refer to section 4.1.1.</w:t>
                  </w:r>
                  <w:r>
                    <w:br/>
                  </w:r>
                  <w:r>
                    <w:br/>
                  </w:r>
                </w:p>
                <w:p>
                  <w:pPr>
                    <w:pStyle w:val="BodyText"/>
                  </w:pPr>
                  <w:r>
                    <w:t xml:space="preserve"> </w:t>
                  </w:r>
                </w:p>
                <w:p>
                  <w:pPr>
                    <w:pStyle w:val="BodyText"/>
                  </w:pP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4.1.9 Do emergency orders also extend protection for abuse and intimidation to family members of the victim?</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Please refer to section 4.1.1.</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4.1.10 How long do the orders last?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Please refer to section 4.1.1.</w:t>
                  </w:r>
                </w:p>
                <w:p>
                  <w:pPr>
                    <w:pStyle w:val="BodyText"/>
                  </w:pPr>
                  <w:r>
                    <w:t xml:space="preserve"> </w:t>
                  </w:r>
                </w:p>
                <w:p>
                  <w:pPr>
                    <w:pStyle w:val="BodyText"/>
                  </w:pP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4.1.11 Please provide any data or hyperlinks to government or NGO websites that include information on how often civil protection orders are issued, and any relevant demographics information, e.g., police reports, convictions, etc.</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hyperlink w:history="true" r:id="Ref840f4ed15d4a95">
                    <w:r>
                      <w:rPr>
                        <w:rStyle w:val="Hyperlink"/>
                        <w:color w:val="002856"/>
                      </w:rPr>
                      <w:t xml:space="preserve"> </w:t>
                    </w:r>
                  </w:hyperlink>
                  <w:r>
                    <w:t xml:space="preserve">N/A</w:t>
                  </w:r>
                </w:p>
                <w:p>
                  <w:pPr>
                    <w:pStyle w:val="BodyText"/>
                  </w:pP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4.2 Steps for receiving a protective order </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4.2.1 What documentation is needed to obtain a civil protection order?</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Please refer to section 4.1.1.</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4.2.2 Does the victim need to attend a hearing?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Please refer to section 4.1.1.</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4.2.3 Can you request remedies?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Please refer to section 4.1.1.</w:t>
                  </w: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4.2.4 Are there time limits?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Please refer to section 4.1.1.</w:t>
                  </w:r>
                </w:p>
                <w:p>
                  <w:pPr>
                    <w:pStyle w:val="BodyText"/>
                  </w:pP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4.2.5 Are there different rules in emergencies?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Please refer to section 4.1.1.</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4.3	Judicial discretion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4.3.1 What discretion does a judge have in granting a civil protection order or other protective orders?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In terms of issuing a protection order, the courts have discretion in issuing an order in the following circumstances:</w:t>
                  </w:r>
                </w:p>
                <w:p>
                  <w:pPr>
                    <w:pStyle w:val="BodyText"/>
                  </w:pPr>
                  <w:pPr>
                    <w:pStyle w:val="ListParagraph"/>
                    <w:numPr>
                      <w:ilvl w:val="0"/>
                      <w:numId w:val="18"/>
                    </w:numPr>
                  </w:pPr>
                  <w:r>
                    <w:t xml:space="preserve">In respect of issuing a protection order, the court may issue a protection order where the court is satisfied that an act of domestic violence has been committed, is threatened or is being committed by the perpetrator.</w:t>
                  </w:r>
                  <w:r>
                    <w:rPr>
                      <w:color w:val="8DB3E2"/>
                      <w:vertAlign w:val="superscript"/>
                    </w:rPr>
                    <w:t xml:space="preserve">[21]</w:t>
                  </w:r>
                </w:p>
                <w:p>
                  <w:pPr>
                    <w:pStyle w:val="BodyText"/>
                  </w:pPr>
                  <w:pPr>
                    <w:pStyle w:val="ListParagraph"/>
                    <w:numPr>
                      <w:ilvl w:val="0"/>
                      <w:numId w:val="18"/>
                    </w:numPr>
                  </w:pPr>
                  <w:r>
                    <w:t xml:space="preserve">In addition to any other remedy provided for under the Domestic Violence Act, the court may order that the victim and the perpetrator and any other affected member of the family be subjected to counseling, mediation or any other intervention that the court deems fit.</w:t>
                  </w:r>
                  <w:r>
                    <w:rPr>
                      <w:color w:val="8DB3E2"/>
                      <w:vertAlign w:val="superscript"/>
                    </w:rPr>
                    <w:t xml:space="preserve">[22]</w:t>
                  </w:r>
                </w:p>
                <w:p>
                  <w:pPr>
                    <w:pStyle w:val="BodyText"/>
                  </w:pPr>
                  <w:r>
                    <w:t xml:space="preserve">In respect of an application to vary, revoke or discharge the interim protection order or protection order, the application will only be granted if the court is satisfied that good cause has been shown.</w:t>
                  </w:r>
                  <w:r>
                    <w:rPr>
                      <w:color w:val="8DB3E2"/>
                      <w:vertAlign w:val="superscript"/>
                    </w:rPr>
                    <w:t xml:space="preserve">[23]</w:t>
                  </w:r>
                </w:p>
                <w:p>
                  <w:pPr>
                    <w:pStyle w:val="BodyText"/>
                  </w:pPr>
                  <w:r>
                    <w:t xml:space="preserve"> There are no age limits applicable to a person who can apply for a protection order. Section 10 of the Domestic Violence Act merely states that a victim or his/her representative can apply for a protection order. </w:t>
                  </w:r>
                </w:p>
                <w:p>
                  <w:pPr>
                    <w:pStyle w:val="BodyText"/>
                  </w:pP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4.3.2 Are there age limits on who can obtain orders?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Please refer to section 4.3.1.</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4.4	Restitution and remedies available to victims </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4.4.1 Can victims obtain reimbursement for costs and restitution paid?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Domestic Violence Act provides a wide range of remedies to victims. These include criminal sanctions, civil remedies and compensatory provisions.</w:t>
                  </w:r>
                </w:p>
                <w:p>
                  <w:pPr>
                    <w:pStyle w:val="BodyText"/>
                  </w:pPr>
                  <w:r>
                    <w:rPr>
                      <w:b/>
                    </w:rPr>
                    <w:t xml:space="preserve">Guiding principles for determining compensation</w:t>
                  </w:r>
                </w:p>
                <w:p>
                  <w:pPr>
                    <w:pStyle w:val="BodyText"/>
                  </w:pPr>
                  <w:r>
                    <w:t xml:space="preserve">Victims may ask for costs and restitution to be paid. Section 4(4) and 20(2) of the Guiding Principles for Determining Compensation, in terms of the second schedule of the Domestic Violence Act, provide for these processes. In terms of compensation, the Penal Code Act provides for compensation and reparations for sexual and gender-based violence. Section 129B leaves it to the discretion of the court to determine the actual amount of compensation to award, taking into consideration the extent of the harm to the victim, the degree of force used by the offender and medical and other expenses incurred by the victim because of the offense.</w:t>
                  </w:r>
                </w:p>
                <w:p>
                  <w:pPr>
                    <w:pStyle w:val="BodyText"/>
                  </w:pPr>
                  <w:r>
                    <w:t xml:space="preserve">The Guiding Principles for Determining Compensation provide that courts may consider the following when determining a claim for compensation:</w:t>
                  </w:r>
                  <w:r>
                    <w:rPr>
                      <w:color w:val="8DB3E2"/>
                      <w:vertAlign w:val="superscript"/>
                    </w:rPr>
                    <w:t xml:space="preserve">[24]</w:t>
                  </w:r>
                </w:p>
                <w:p>
                  <w:pPr>
                    <w:pStyle w:val="BodyText"/>
                  </w:pPr>
                  <w:pPr>
                    <w:pStyle w:val="ListParagraph"/>
                    <w:numPr>
                      <w:ilvl w:val="0"/>
                      <w:numId w:val="17"/>
                    </w:numPr>
                  </w:pPr>
                  <w:r>
                    <w:t xml:space="preserve">the pain and suffering of the victim and the nature and extent of the physical or mental injury suffered</w:t>
                  </w:r>
                </w:p>
                <w:p>
                  <w:pPr>
                    <w:pStyle w:val="BodyText"/>
                  </w:pPr>
                  <w:pPr>
                    <w:pStyle w:val="ListParagraph"/>
                    <w:numPr>
                      <w:ilvl w:val="0"/>
                      <w:numId w:val="17"/>
                    </w:numPr>
                  </w:pPr>
                  <w:r>
                    <w:t xml:space="preserve">the cost of medical treatment for the injuries suffered by the victim</w:t>
                  </w:r>
                </w:p>
                <w:p>
                  <w:pPr>
                    <w:pStyle w:val="BodyText"/>
                  </w:pPr>
                  <w:pPr>
                    <w:pStyle w:val="ListParagraph"/>
                    <w:numPr>
                      <w:ilvl w:val="0"/>
                      <w:numId w:val="17"/>
                    </w:numPr>
                  </w:pPr>
                  <w:r>
                    <w:t xml:space="preserve">any loss of earnings arising from the domestic violence</w:t>
                  </w:r>
                </w:p>
                <w:p>
                  <w:pPr>
                    <w:pStyle w:val="BodyText"/>
                  </w:pPr>
                  <w:pPr>
                    <w:pStyle w:val="ListParagraph"/>
                    <w:numPr>
                      <w:ilvl w:val="0"/>
                      <w:numId w:val="17"/>
                    </w:numPr>
                  </w:pPr>
                  <w:r>
                    <w:t xml:space="preserve">the amount or value of the property taken, destroyed or damaged</w:t>
                  </w:r>
                </w:p>
                <w:p>
                  <w:pPr>
                    <w:pStyle w:val="BodyText"/>
                  </w:pPr>
                  <w:pPr>
                    <w:pStyle w:val="ListParagraph"/>
                    <w:numPr>
                      <w:ilvl w:val="0"/>
                      <w:numId w:val="17"/>
                    </w:numPr>
                  </w:pPr>
                  <w:r>
                    <w:t xml:space="preserve">the necessary and reasonable expenses incurred by or on behalf of the applicant, where the applicant is compelled to separate or be separated from the perpetrator due to the domestic violence, including accommodation costs, transport costs and meals</w:t>
                  </w:r>
                </w:p>
                <w:p>
                  <w:pPr>
                    <w:pStyle w:val="BodyText"/>
                  </w:pP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4.4.2 Can they recover wages and profits lost?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Please refer to section 4.4.1.</w:t>
                  </w: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4.4.3 Is a separate civil process required?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Please refer to section 4.4.1.</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4.5 Analysis at a regional and international level</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p>
                  <w:pPr>
                    <w:pStyle w:val="BodyText"/>
                  </w:pPr>
                  <w:r>
                    <w:t xml:space="preserve">At both the regional and international level, violence against women and girls is condemned and states are required to take action to eliminate gender-based violence. States, such as Uganda, are under a positive obligation to implement legislative measures that criminalize gender-based violence and to provide civil remedies to victims of gender-based violence.</w:t>
                  </w:r>
                  <w:r>
                    <w:rPr>
                      <w:color w:val="8DB3E2"/>
                      <w:vertAlign w:val="superscript"/>
                    </w:rPr>
                    <w:t xml:space="preserve">[25]</w:t>
                  </w:r>
                  <w:r>
                    <w:t xml:space="preserve"> In addition, states are required to implement effective protective measures to prevent and address gender-based violence in their respective countries.</w:t>
                  </w:r>
                  <w:r>
                    <w:rPr>
                      <w:color w:val="8DB3E2"/>
                      <w:vertAlign w:val="superscript"/>
                    </w:rPr>
                    <w:t xml:space="preserve">[26]</w:t>
                  </w:r>
                  <w:r>
                    <w:t xml:space="preserve"> The adoption and implementation of the Domestic Violence Act and Domestic Violence Regulations is a positive step for Uganda in meeting these standards. More specifically, these laws demonstrate how Ugandan legislation reflects the protective aims of the Maputo Protocol and the CEDAW.</w:t>
                  </w:r>
                </w:p>
                <w:p>
                  <w:pPr>
                    <w:pStyle w:val="BodyText"/>
                  </w:pPr>
                  <w:r>
                    <w:t xml:space="preserve">Articles 1 to 4 of the Maputo Protocol deal with the right to dignity inherent in a human being, the right to the recognition and protection of every woman's human and legal rights, and the right to life, integrity and security of the person. The Domestic Violence Act strives to facilitate the promotion of these key rights and, more specifically, Articles 3 and 4 of the Maputo Protocol, which provide, among others, as follows:</w:t>
                  </w:r>
                </w:p>
                <w:p>
                  <w:pPr>
                    <w:pStyle w:val="BodyText"/>
                  </w:pPr>
                  <w:pPr>
                    <w:pStyle w:val="ListParagraph"/>
                    <w:numPr>
                      <w:ilvl w:val="0"/>
                      <w:numId w:val="16"/>
                    </w:numPr>
                  </w:pPr>
                  <w:r>
                    <w:t xml:space="preserve">Article 3 (Right to Dignity): "State parties shall adopt and implement appropriate measures to ensure the protection of every woman's right to respect for her dignity and protection of women from all forms of violence, particularly sexual and verbal violence."</w:t>
                  </w:r>
                </w:p>
                <w:p>
                  <w:pPr>
                    <w:pStyle w:val="BodyText"/>
                  </w:pPr>
                  <w:pPr>
                    <w:pStyle w:val="ListParagraph"/>
                    <w:numPr>
                      <w:ilvl w:val="0"/>
                      <w:numId w:val="16"/>
                    </w:numPr>
                  </w:pPr>
                  <w:r>
                    <w:t xml:space="preserve">Article 4 (The Rights to Life, Integrity and Security of the Person): This article is explicitly aimed at addressing violence against women by identifying the causes and consequences of violence and by punishing perpetrators of such violence to uphold every woman's entitlement to respect, integrity and security of her person. </w:t>
                  </w:r>
                </w:p>
                <w:p>
                  <w:pPr>
                    <w:pStyle w:val="BodyText"/>
                  </w:pPr>
                  <w:r>
                    <w:t xml:space="preserve">Furthermore, the CEDAW sets out a number of protective measures recommended to state parties. It provides for the protection of the privacy and safety of the victims through "gender sensitive court procedures and measures, bearing in mind the due process of victims/survivors, witnesses and defendants."</w:t>
                  </w:r>
                  <w:r>
                    <w:rPr>
                      <w:color w:val="8DB3E2"/>
                      <w:vertAlign w:val="superscript"/>
                    </w:rPr>
                    <w:t xml:space="preserve">[27]</w:t>
                  </w:r>
                  <w:r>
                    <w:t xml:space="preserve"> The Domestic Violence Act provides for this by allowing </w:t>
                  </w:r>
                  <w:r>
                    <w:rPr>
                      <w:i/>
                    </w:rPr>
                    <w:t xml:space="preserve">ex parte</w:t>
                  </w:r>
                  <w:r>
                    <w:t xml:space="preserve"> orders to be permitted without the aggressor having to be present. Additionally, a victim or representative of a victim may make an application to the magistrates' court, supported by an affidavit.</w:t>
                  </w:r>
                  <w:r>
                    <w:rPr>
                      <w:color w:val="8DB3E2"/>
                      <w:vertAlign w:val="superscript"/>
                    </w:rPr>
                    <w:t xml:space="preserve">[28]</w:t>
                  </w:r>
                  <w:r>
                    <w:rPr>
                      <w:color w:val="8DB3E2"/>
                      <w:vertAlign w:val="superscript"/>
                    </w:rPr>
                    <w:t xml:space="preserve"> </w:t>
                  </w:r>
                  <w:r>
                    <w:t xml:space="preserve">Regulation 13 of the Domestic Violence Regulations enables matters with a certain degree of sensitivity to be heard </w:t>
                  </w:r>
                  <w:r>
                    <w:rPr>
                      <w:i/>
                    </w:rPr>
                    <w:t xml:space="preserve">in camera</w:t>
                  </w:r>
                  <w:r>
                    <w:rPr>
                      <w:color w:val="8DB3E2"/>
                      <w:vertAlign w:val="superscript"/>
                    </w:rPr>
                    <w:t xml:space="preserve">[29]</w:t>
                  </w:r>
                  <w:r>
                    <w:t xml:space="preserve"> instead of in public.</w:t>
                  </w:r>
                  <w:r>
                    <w:rPr>
                      <w:color w:val="8DB3E2"/>
                      <w:vertAlign w:val="superscript"/>
                    </w:rPr>
                    <w:t xml:space="preserve">[30]</w:t>
                  </w:r>
                </w:p>
                <w:p>
                  <w:pPr>
                    <w:pStyle w:val="BodyText"/>
                  </w:pPr>
                  <w:r>
                    <w:t xml:space="preserve">The CEDAW also provides the following:</w:t>
                  </w:r>
                </w:p>
                <w:p>
                  <w:pPr>
                    <w:pStyle w:val="BodyText"/>
                  </w:pPr>
                  <w:pPr>
                    <w:ind w:left="705"/>
                  </w:pPr>
                  <w:r>
                    <w:t xml:space="preserve">Mechanisms should include immediate risk assessment and protection comprising a wide range of effective measures and, where appropriate, the issuance and monitoring of eviction, protection, restraining or emergency barring orders against alleged perpetrators, including adequate sanctions for non-compliance. Protective measures should avoid imposing an undue financial, bureaucratic or personal burden on women who are victims/survivors.</w:t>
                  </w:r>
                  <w:r>
                    <w:rPr>
                      <w:color w:val="8DB3E2"/>
                      <w:vertAlign w:val="superscript"/>
                    </w:rPr>
                    <w:t xml:space="preserve">[31]</w:t>
                  </w:r>
                  <w:r>
                    <w:t xml:space="preserve"> </w:t>
                  </w:r>
                </w:p>
                <w:p>
                  <w:pPr>
                    <w:pStyle w:val="BodyText"/>
                  </w:pPr>
                  <w:r>
                    <w:t xml:space="preserve">As mentioned above, Section 13 of the Domestic Violence Act provides for such mechanism, dealing with child support and child custody, as well as prohibiting the perpetrator from entering or approaching any place or premises where the victim may be or forcing them to vacate the matrimonial home when it is in the best interests of the victim. In terms of Regulation 33 of the Domestic Violence Regulations, the protection order will be based on evidence such as the respective housing needs of the parties and children, the financial resources of the parties, and the effect on the health, safety and welfare of the parties and children.</w:t>
                  </w:r>
                  <w:r>
                    <w:rPr>
                      <w:color w:val="8DB3E2"/>
                      <w:vertAlign w:val="superscript"/>
                    </w:rPr>
                    <w:t xml:space="preserve">[32]</w:t>
                  </w:r>
                </w:p>
                <w:p>
                  <w:pPr>
                    <w:pStyle w:val="BodyText"/>
                  </w:pPr>
                  <w:r>
                    <w:t xml:space="preserve">The Domestic Violence Act and the Domestic Violence Regulations are silent on the issue of the costs of the application for and issuance of protection orders. </w:t>
                  </w:r>
                </w:p>
                <w:p>
                  <w:pPr>
                    <w:pStyle w:val="BodyText"/>
                  </w:pPr>
                  <w:r>
                    <w:t xml:space="preserve">In terms of the Maputo Protocol, state parties are required to allocate adequate budgetary resources for the implementation and monitoring interventions geared toward eradicating violence against women. Article 8 of the Maputo Protocol provides for access to justice and equal protection before the law, stating: </w:t>
                  </w:r>
                </w:p>
                <w:p>
                  <w:pPr>
                    <w:pStyle w:val="BodyText"/>
                  </w:pPr>
                  <w:pPr>
                    <w:ind w:left="705"/>
                  </w:pPr>
                  <w:r>
                    <w:t xml:space="preserve">Women and men are equal before the law and shall have the right to equal protection and benefit from the law. States Parties shall take all appropriate measures to ensure: effective access by women to judicial and legal services, including legal aid.</w:t>
                  </w:r>
                  <w:r>
                    <w:rPr>
                      <w:color w:val="8DB3E2"/>
                      <w:vertAlign w:val="superscript"/>
                    </w:rPr>
                    <w:t xml:space="preserve">[33]</w:t>
                  </w:r>
                </w:p>
                <w:p>
                  <w:pPr>
                    <w:pStyle w:val="BodyText"/>
                  </w:pPr>
                  <w:r>
                    <w:t xml:space="preserve">In terms of</w:t>
                  </w:r>
                  <w:r>
                    <w:rPr>
                      <w:i/>
                    </w:rPr>
                    <w:t xml:space="preserve"> </w:t>
                  </w:r>
                  <w:r>
                    <w:t xml:space="preserve">the CEDAW, the Committee recommends that state parties implement measures to "ensure effective access for victims to courts and tribunals and that the authorities adequately respond to all cases of gender-based violence against women … Fees or court charges should not be imposed on victims/survivors."</w:t>
                  </w:r>
                  <w:r>
                    <w:rPr>
                      <w:color w:val="8DB3E2"/>
                      <w:vertAlign w:val="superscript"/>
                    </w:rPr>
                    <w:t xml:space="preserve">[34]</w:t>
                  </w:r>
                  <w:r>
                    <w:t xml:space="preserve"> Furthermore, the Committee recommends that state parties implement the following measures with regard to reparations: </w:t>
                  </w:r>
                </w:p>
                <w:p>
                  <w:pPr>
                    <w:pStyle w:val="BodyText"/>
                  </w:pPr>
                  <w:pPr>
                    <w:ind w:left="705"/>
                  </w:pPr>
                  <w:r>
                    <w:t xml:space="preserve">Provide effective reparations to victims/survivors of gender-based violence against women. Reparations should include different measures, such as monetary compensation, the provision of legal, social and health services, including sexual, reproductive and mental health services for a complete recovery, and satisfaction and guarantees of non-repetition … Such reparations should be adequate, promptly attributed, holistic and proportionate to the gravity of the harm suffered.</w:t>
                  </w:r>
                  <w:r>
                    <w:rPr>
                      <w:color w:val="8DB3E2"/>
                      <w:vertAlign w:val="superscript"/>
                    </w:rPr>
                    <w:t xml:space="preserve">[35]</w:t>
                  </w:r>
                  <w:r>
                    <w:t xml:space="preserve"> </w:t>
                  </w:r>
                </w:p>
                <w:p>
                  <w:pPr>
                    <w:pStyle w:val="BodyText"/>
                  </w:pPr>
                  <w:r>
                    <w:t xml:space="preserve">As set out under Section 3.4 above, Section 4(4) and 20(2) of the Guiding Principles for Determining Compensation deal with a number of these determinations in calculating the reparations to be awarded to the victim. However, no provision has been made for how the reparation will be funded. The CEDAW recommends that state parties "establish specific funds for reparations or include allocations in the budgets of existing funds, including under transitional justice mechanisms, for reparations to victims of gender-based violence against women."</w:t>
                  </w:r>
                </w:p>
                <w:p>
                  <w:pPr>
                    <w:pStyle w:val="BodyText"/>
                  </w:pPr>
                  <w:r>
                    <w:t xml:space="preserve">Although the legislation does not explicitly address the issue of costs and reparation for the victim, with the adoption and implementation of the Domestic Violence Act and the ratification of the Maputo Protocol and the CEDAW, Uganda has taken positive steps to meet international standards of domestic violence against women.</w:t>
                  </w:r>
                </w:p>
                <w:p>
                  <w:pPr>
                    <w:pStyle w:val="BodyText"/>
                  </w:pPr>
                  <w:r>
                    <w:t xml:space="preserve"> </w:t>
                  </w:r>
                </w:p>
                <w:p>
                  <w:pPr>
                    <w:pStyle w:val="BodyText"/>
                  </w:pPr>
                  <w:r>
                    <w:br/>
                  </w:r>
                  <w:r>
                    <w:br/>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5.	Prosecutorial considerations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5.1	Police procedures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5.1.1 When do the police get involved in domestic disputes or legal actions?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In terms of Section 6(6) of the Domestic Violence Act, where a complaint of domestic violence is made to a local council court, police can become involved if the local council court makes a written referral to the police and the magistrates' court where the following occur:</w:t>
                  </w:r>
                </w:p>
                <w:p>
                  <w:pPr>
                    <w:pStyle w:val="BodyText"/>
                  </w:pPr>
                  <w:pPr>
                    <w:pStyle w:val="ListParagraph"/>
                    <w:numPr>
                      <w:ilvl w:val="0"/>
                      <w:numId w:val="15"/>
                    </w:numPr>
                  </w:pPr>
                  <w:r>
                    <w:t xml:space="preserve">the perpetrator is a second or repeat offender</w:t>
                  </w:r>
                </w:p>
                <w:p>
                  <w:pPr>
                    <w:pStyle w:val="BodyText"/>
                  </w:pPr>
                  <w:pPr>
                    <w:pStyle w:val="ListParagraph"/>
                    <w:numPr>
                      <w:ilvl w:val="0"/>
                      <w:numId w:val="15"/>
                    </w:numPr>
                  </w:pPr>
                  <w:r>
                    <w:t xml:space="preserve">in the opinion of the court, taking into account all of the circumstances of the case, the perpetrator is likely to inflict further harm on the victim</w:t>
                  </w:r>
                </w:p>
                <w:p>
                  <w:pPr>
                    <w:pStyle w:val="BodyText"/>
                  </w:pPr>
                  <w:pPr>
                    <w:pStyle w:val="ListParagraph"/>
                    <w:numPr>
                      <w:ilvl w:val="0"/>
                      <w:numId w:val="15"/>
                    </w:numPr>
                  </w:pPr>
                  <w:r>
                    <w:t xml:space="preserve">if, in the opinion of the court, the degree and nature of the violence warrants the involvement of the police</w:t>
                  </w:r>
                </w:p>
                <w:p>
                  <w:pPr>
                    <w:pStyle w:val="BodyText"/>
                  </w:pPr>
                  <w:r>
                    <w:t xml:space="preserve">In addition to the above, domestic violence complaints can be made directly with police officers in terms of Section 7 of the Domestic Violence Act.</w:t>
                  </w:r>
                </w:p>
                <w:p>
                  <w:pPr>
                    <w:pStyle w:val="BodyText"/>
                  </w:pPr>
                  <w:r>
                    <w:t xml:space="preserve"> Neither the Domestic Violence Act nor the Domestic Violence Regulations specifically address the issue of the involvement of legal representatives in domestic violence matters. However, as with normal civil and criminal proceedings in Uganda, it is assumed that legal representatives will be permitted to assist in domestic violence proceedings.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5.1.2 What circumstances effect law firm involvement?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Please refer to section 5.1.1.</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5.2 Standard of proof</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5.2.1 Is proof required by any legal means?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For criminal matters, the standard of proof is beyond reasonable doubt; for civil matters, the standard of proof is on a balance of probabilities. The standard of proof does not shift where an application for a protection order is made </w:t>
                  </w:r>
                  <w:r>
                    <w:rPr>
                      <w:i/>
                    </w:rPr>
                    <w:t xml:space="preserve">ex parte</w:t>
                  </w:r>
                  <w:r>
                    <w:t xml:space="preserve">. However, in terms of Section 12(2) of the Domestic Violence Act, where an application for a Protection Order is made </w:t>
                  </w:r>
                  <w:r>
                    <w:rPr>
                      <w:i/>
                    </w:rPr>
                    <w:t xml:space="preserve">ex parte</w:t>
                  </w:r>
                  <w:r>
                    <w:t xml:space="preserve">, the court must be satisfied that the perpetrator has been served with the notice of the application for the order.</w:t>
                  </w:r>
                </w:p>
                <w:p>
                  <w:pPr>
                    <w:pStyle w:val="BodyText"/>
                  </w:pPr>
                  <w:r>
                    <w:rPr>
                      <w:b/>
                    </w:rPr>
                    <w:t xml:space="preserve">Requirements for evidence and documents</w:t>
                  </w:r>
                </w:p>
                <w:p>
                  <w:pPr>
                    <w:pStyle w:val="BodyText"/>
                  </w:pPr>
                  <w:r>
                    <w:t xml:space="preserve">In terms of Section 10(2) of the Domestic Violence Act, applications for protection orders must be supported by an affidavit and any reports or documents that are to be relied upon should be attached to the application.</w:t>
                  </w:r>
                </w:p>
                <w:p>
                  <w:pPr>
                    <w:pStyle w:val="BodyText"/>
                  </w:pPr>
                  <w:r>
                    <w:t xml:space="preserve">The use of witness statements in domestic violence cases is also regulated in terms of Regulation 40 of the Domestic Violence Regulations. It provides that if a witness intends to rely on a statement, the statement should be filed with the pleadings and served on the other party. Where the other party is served with a witness statement, the party must make a reply to the statement, file the reply with the court and serve the reply on the other party. A party to the proceedings is entitled to cross-examine a witness in respect of a witness statement filed by them. </w:t>
                  </w:r>
                </w:p>
                <w:p>
                  <w:pPr>
                    <w:pStyle w:val="BodyText"/>
                  </w:pPr>
                  <w:r>
                    <w:t xml:space="preserve">Regulation 44 of the Domestic Violence Regulations further provides that the following evidence is admissible in domestic violence proceedings:</w:t>
                  </w:r>
                </w:p>
                <w:p>
                  <w:pPr>
                    <w:pStyle w:val="BodyText"/>
                  </w:pPr>
                  <w:pPr>
                    <w:pStyle w:val="ListParagraph"/>
                    <w:numPr>
                      <w:ilvl w:val="0"/>
                      <w:numId w:val="14"/>
                    </w:numPr>
                  </w:pPr>
                  <w:r>
                    <w:t xml:space="preserve">previous convictions as far as it pertains to acts of violence, domestic or otherwise</w:t>
                  </w:r>
                </w:p>
                <w:p>
                  <w:pPr>
                    <w:pStyle w:val="BodyText"/>
                  </w:pPr>
                  <w:pPr>
                    <w:pStyle w:val="ListParagraph"/>
                    <w:numPr>
                      <w:ilvl w:val="0"/>
                      <w:numId w:val="14"/>
                    </w:numPr>
                  </w:pPr>
                  <w:r>
                    <w:t xml:space="preserve">records of previous protection orders granted to or against any of the parties</w:t>
                  </w:r>
                </w:p>
                <w:p>
                  <w:pPr>
                    <w:pStyle w:val="BodyText"/>
                  </w:pPr>
                  <w:pPr>
                    <w:pStyle w:val="ListParagraph"/>
                    <w:numPr>
                      <w:ilvl w:val="0"/>
                      <w:numId w:val="14"/>
                    </w:numPr>
                  </w:pPr>
                  <w:r>
                    <w:t xml:space="preserve">reports of acts of violence, be it domestic or otherwise, by the police or any other authority</w:t>
                  </w:r>
                </w:p>
                <w:p>
                  <w:pPr>
                    <w:pStyle w:val="BodyText"/>
                  </w:pPr>
                  <w:pPr>
                    <w:pStyle w:val="ListParagraph"/>
                    <w:numPr>
                      <w:ilvl w:val="0"/>
                      <w:numId w:val="14"/>
                    </w:numPr>
                  </w:pPr>
                  <w:r>
                    <w:t xml:space="preserve">formal warnings issued by the police</w:t>
                  </w:r>
                </w:p>
                <w:p>
                  <w:pPr>
                    <w:pStyle w:val="BodyText"/>
                  </w:pPr>
                  <w:pPr>
                    <w:pStyle w:val="ListParagraph"/>
                    <w:numPr>
                      <w:ilvl w:val="0"/>
                      <w:numId w:val="14"/>
                    </w:numPr>
                  </w:pPr>
                  <w:r>
                    <w:t xml:space="preserve">variations or cancellations of protection orders </w:t>
                  </w:r>
                </w:p>
                <w:p>
                  <w:pPr>
                    <w:pStyle w:val="BodyText"/>
                  </w:pPr>
                  <w:pPr>
                    <w:pStyle w:val="ListParagraph"/>
                    <w:numPr>
                      <w:ilvl w:val="0"/>
                      <w:numId w:val="14"/>
                    </w:numPr>
                  </w:pPr>
                  <w:r>
                    <w:t xml:space="preserve">court records on matters arising out of the same</w:t>
                  </w:r>
                </w:p>
                <w:p>
                  <w:pPr>
                    <w:pStyle w:val="BodyText"/>
                  </w:pPr>
                  <w:r>
                    <w:t xml:space="preserve">The Domestic Violence Regulations cater for instances where the procedures in domestic violence proceedings will be regulated by laws governing criminal procedure as well as civil procedure in the magistrates' courts.</w:t>
                  </w:r>
                  <w:r>
                    <w:rPr>
                      <w:color w:val="8DB3E2"/>
                      <w:vertAlign w:val="superscript"/>
                    </w:rPr>
                    <w:t xml:space="preserve">[36]</w:t>
                  </w:r>
                  <w:r>
                    <w:t xml:space="preserve"> </w:t>
                  </w:r>
                </w:p>
                <w:p>
                  <w:pPr>
                    <w:pStyle w:val="BodyText"/>
                  </w:pPr>
                  <w:r>
                    <w:t xml:space="preserve">In terms of the Ugandan Civil Procedure Rules,</w:t>
                  </w:r>
                  <w:r>
                    <w:rPr>
                      <w:color w:val="8DB3E2"/>
                      <w:vertAlign w:val="superscript"/>
                    </w:rPr>
                    <w:t xml:space="preserve">[37]</w:t>
                  </w:r>
                  <w:r>
                    <w:rPr>
                      <w:color w:val="8DB3E2"/>
                      <w:vertAlign w:val="superscript"/>
                    </w:rPr>
                    <w:t xml:space="preserve"> </w:t>
                  </w:r>
                  <w:r>
                    <w:t xml:space="preserve">evidence given or any other proceeding at the hearing of any suit may be recorded in shorthand or by mechanical means.</w:t>
                  </w:r>
                </w:p>
                <w:p>
                  <w:pPr>
                    <w:pStyle w:val="BodyText"/>
                  </w:pP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5.2.2 Are there any requirements regarding evidence and documents?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Please refer to section 5.2.1.</w:t>
                  </w:r>
                </w:p>
                <w:p>
                  <w:pPr>
                    <w:pStyle w:val="BodyText"/>
                  </w:pP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5.2.3 Is proof "beyond a reasonable doubt" required?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Please refer to section 5.2.1.</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5.2.4 Is the standard of proof different for ex parte orders?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Please refer to section 5.2.1.</w:t>
                  </w: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5.3 Affirmative defenses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5.3.1 Are affirmative defenses available to the accused?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Affirmative defenses are available to an accused person and they include self-defense and insanity. In relation to proving an affirmative defense, there is no requirement to prove willful intent. Neither the Domestic Violence Act nor the Domestic Violence Regulations expressly deal with the question of whether false accusations are punishable for the victim. However, a false accusation, depending on its nature, may constitute defamation, in which case the aggrieved party can institute an action for defamation. Section 5 of the Domestic Violence Act specifies that consent is not a defense to a charge of domestic violence. </w:t>
                  </w:r>
                </w:p>
                <w:p>
                  <w:pPr>
                    <w:pStyle w:val="BodyText"/>
                  </w:pP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5.3.2 Is willful intent required?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Please refer to section 5.3.1.</w:t>
                  </w: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5.3.3 Are false accusations punishable for the victim?</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Please refer to section 5.3.1.</w:t>
                  </w:r>
                </w:p>
                <w:p>
                  <w:pPr>
                    <w:pStyle w:val="BodyText"/>
                  </w:pP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5.3.4 How is consent discussed in the law?</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Please refer to section 5.3.1.</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5.3.5 Is self-defense or insanity a defense?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Please refer to section 5.3.1.</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5.4 Witness status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5.4.1 What is a witness's duty to testify honestly and completely?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 witness may be summoned to give evidence or to produce a document in court any time after legal proceedings are instituted</w:t>
                  </w:r>
                  <w:r>
                    <w:rPr>
                      <w:color w:val="8DB3E2"/>
                      <w:vertAlign w:val="superscript"/>
                    </w:rPr>
                    <w:t xml:space="preserve">[38]</w:t>
                  </w:r>
                  <w:r>
                    <w:t xml:space="preserve"> and such person will have a duty to either give evidence or produce the document required. Prior to testifying, a witness will take an oath and the witness will be expected to testify honestly and satisfactorily. In certain circumstances, people may abstain from testifying, for example, a wife is not a compellable witness and she may abstain from testifying in certain instances.</w:t>
                  </w:r>
                </w:p>
                <w:p>
                  <w:pPr>
                    <w:pStyle w:val="BodyText"/>
                  </w:pPr>
                  <w:r>
                    <w:t xml:space="preserve">The Civil Procedure Rules refer to "lawful excuses" for witnesses that fail to attend or produce the document in compliance with the summons. Unfortunately, there is limited commentary on the meaning of a "lawful excuse" that can apply to witnesses. </w:t>
                  </w:r>
                </w:p>
                <w:p>
                  <w:pPr>
                    <w:pStyle w:val="BodyText"/>
                  </w:pPr>
                  <w:r>
                    <w:t xml:space="preserve">While we are not in a position to assess the impact of domestic violence on witnesses who are children, when a child is considered a competent witness, he/she may be called to testify. </w:t>
                  </w:r>
                </w:p>
                <w:p>
                  <w:pPr>
                    <w:pStyle w:val="BodyText"/>
                  </w:pPr>
                  <w:r>
                    <w:t xml:space="preserve"> The conduct of the abuser may also constitute abuse under the Children Act. Section 42A(1) of the Children Act provides a right for children to be protected against all forms of violence, abuse and exploitation. The Children Act further states that anyone who witnesses child abuse must report it to the authorities. In terms of Section 109 of the Children Act, anyone who contravenes any of the provisions of the act will be liable to a fine and/or imprisonment. In terms of process based on Section 16 of the Children Act, a family and children court may hear the cases in informal settings to protect the child from adversarial processes. Parents or guardians of the child are entitled to be present and such proceedings will be recorded. </w:t>
                  </w:r>
                </w:p>
                <w:p>
                  <w:pPr>
                    <w:pStyle w:val="BodyText"/>
                  </w:pP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5.4.2 Who may abstain from testifying in certain situations?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Please see section 5.4.1.</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5.4.3 What potential "excuses" can a witness raise to refuse to testify in a domestic violence action?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Please refer to section 5.4.1.</w:t>
                  </w: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5.4.4 What is the impact of domestic violence on witnesses who are children?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Please refer to section 5.4.1.</w:t>
                  </w:r>
                </w:p>
                <w:p>
                  <w:pPr>
                    <w:pStyle w:val="BodyText"/>
                  </w:pP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5.4.5 Can children be called upon to testify?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Please refer to section 5.4.1.</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5.4.6 What is the effect of a child victim on the charges against the offender?</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Please refer to section 5.4.1.</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5.5	Penalties and sentencing; penalty enhancements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5.5.1 What are the penalties and sentencing laws for first-time domestic violence offenses?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Domestic Violence Act does not indicate what penalties and sentencing laws are applicable to first-time domestic violence offenses. However, Section 4 of the Domestic Violence Act prohibits domestic violence outright and provides that a person who engages in domestic violence commits an offense and will be liable on conviction to a fine or imprisonment, or both. In addition, Regulation 39 of the Domestic Violence Regulations provides that the laws governing criminal proceedings will apply in domestic violence cases of a criminal nature, in which case criminal penalties in terms of those laws will apply.</w:t>
                  </w:r>
                </w:p>
                <w:p>
                  <w:pPr>
                    <w:pStyle w:val="BodyText"/>
                  </w:pPr>
                  <w:r>
                    <w:t xml:space="preserve">Section 16(4) of the Domestic Violence Act provides that a person who fails to comply with the terms and conditions of a protection order commits an offense and is liable on conviction to a fine not exceeding 48 currency points or imprisonment not exceeding two years, or both.</w:t>
                  </w:r>
                </w:p>
                <w:p>
                  <w:pPr>
                    <w:pStyle w:val="BodyText"/>
                  </w:pPr>
                  <w:r>
                    <w:t xml:space="preserve">As already mentioned, in the exercise of its jurisdiction, a local council court may make a variety of orders for the victim or against the perpetrator.</w:t>
                  </w:r>
                </w:p>
                <w:p>
                  <w:pPr>
                    <w:pStyle w:val="BodyText"/>
                  </w:pPr>
                  <w:r>
                    <w:t xml:space="preserve"> The Maputo Protocol broadly provides that state parties must provide for appropriate remedies to any woman whose rights or freedoms have been violated. These remedies must be determined by competent judicial, administrative or legislative authorities, or by any other competent authority provided for by law. Likewise, the CEDAW provides that authorities must adequately respond to all cases of gender-based violence, including by applying criminal law and imposing adequate penalties. The Domestic Violence Act, in prohibiting domestic violence and providing that it is an offense and that anyone who engages in domestic violence will be liable to a fine or imprisonment, or both, provides adequate punishment to offenders. Further, by criminalizing domestic violence, the Ugandan government has ensured that these offenses will be taken seriously, thereby affording appropriate remedies to women whose rights and freedoms have been violated. Further, the Domestic Violence Act extends the reach of remedies available to subjects of domestic violence by providing that the local council court may make a variety of orders for the victim or against the perpetrator. This may bring the Domestic Violence Act somewhat in line with Article E of the CEDAW, which provides that state parties must provide effective repatriations to victims of gender-based violence, including monetary compensation, the provision of legal, social and health services, satisfaction, and the guarantee of non-repetition.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5.5.2 Are there criminal penalties?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Please refer to section 5.5.1.</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5.5.3 What is the result of a violation of an existing order for protection?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Please refer to section 5.5.1.</w:t>
                  </w:r>
                </w:p>
                <w:p>
                  <w:pPr>
                    <w:pStyle w:val="BodyText"/>
                  </w:pP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5.5.4 What fines and other penalties are imposed besides incarceration and liberty restriction?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Please refer to section 5.5.1.</w:t>
                  </w:r>
                </w:p>
                <w:p>
                  <w:pPr>
                    <w:pStyle w:val="BodyText"/>
                  </w:pP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5.6 Post-release restrictions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5.6.1 Does the law notify the victim of the offender's release from custody?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are no mechanisms in place to enable a notification to the victim of the offender's release. Sections 6(6) and 7 of the Domestic Violence Act state that the local council court will make a written referral to the police and the magistrates' court where the following occur:</w:t>
                  </w:r>
                </w:p>
                <w:p>
                  <w:pPr>
                    <w:pStyle w:val="BodyText"/>
                  </w:pPr>
                  <w:pPr>
                    <w:pStyle w:val="ListParagraph"/>
                    <w:numPr>
                      <w:ilvl w:val="0"/>
                      <w:numId w:val="13"/>
                    </w:numPr>
                  </w:pPr>
                  <w:r>
                    <w:t xml:space="preserve">the perpetrator is a second or repeat offender</w:t>
                  </w:r>
                </w:p>
                <w:p>
                  <w:pPr>
                    <w:pStyle w:val="BodyText"/>
                  </w:pPr>
                  <w:pPr>
                    <w:pStyle w:val="ListParagraph"/>
                    <w:numPr>
                      <w:ilvl w:val="0"/>
                      <w:numId w:val="13"/>
                    </w:numPr>
                  </w:pPr>
                  <w:r>
                    <w:t xml:space="preserve">in the opinion of the court, taking into account all the circumstances of the case, the perpetrator is likely to inflict further harm on the victim</w:t>
                  </w:r>
                </w:p>
                <w:p>
                  <w:pPr>
                    <w:pStyle w:val="BodyText"/>
                  </w:pPr>
                  <w:pPr>
                    <w:pStyle w:val="ListParagraph"/>
                    <w:numPr>
                      <w:ilvl w:val="0"/>
                      <w:numId w:val="13"/>
                    </w:numPr>
                  </w:pPr>
                  <w:r>
                    <w:t xml:space="preserve">in the opinion of the court, the degree and nature of the violence warrants the involvement of the police and the court</w:t>
                  </w:r>
                </w:p>
                <w:p>
                  <w:pPr>
                    <w:pStyle w:val="BodyText"/>
                  </w:pP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5.7 Analysis at a regional and international level</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p>
                  <w:pPr>
                    <w:pStyle w:val="BodyText"/>
                  </w:pPr>
                  <w:r>
                    <w:rPr>
                      <w:b/>
                    </w:rPr>
                    <w:t xml:space="preserve">Comparison between Ugandan law and the Maputo Protocol</w:t>
                  </w:r>
                </w:p>
                <w:p>
                  <w:pPr>
                    <w:pStyle w:val="BodyText"/>
                  </w:pPr>
                  <w:r>
                    <w:t xml:space="preserve">The Maputo Protocol requires countries to adopt legislative, administrative, social and economic measures to ensure the prevention, punishment and eradication of all forms of violence against women. Local Ugandan law has adopted these measures in its legislation. The Domestic Violence Act expressly defines and prohibits domestic violence. The act also provides the process to report domestic violence, being either through the police or the court.</w:t>
                  </w:r>
                </w:p>
                <w:p>
                  <w:pPr>
                    <w:pStyle w:val="BodyText"/>
                  </w:pPr>
                  <w:r>
                    <w:t xml:space="preserve">The Maputo Protocol requires countries to protect women who are at risk of being subjected to harmful practices or all other forms of violence, abuse and intolerance. The Domestic Violence Act provides protection for women against domestic violence. The Domestic Violence Act also provides circumstances where a court may refer a matter to the police for their intervention. These circumstances include where the perpetrator is a second or repeat offender or where, in the opinion of the court, taking into account all of the circumstances of the case, the perpetrator is likely to inflict further harm on the victim.</w:t>
                  </w:r>
                </w:p>
                <w:p>
                  <w:pPr>
                    <w:pStyle w:val="BodyText"/>
                  </w:pPr>
                  <w:r>
                    <w:t xml:space="preserve">The protocol requires effective access for women to judicial and legal services. Neither the Domestic Violence Act nor the Domestic Violence Regulations specifically address the issue of the involvement of and access to legal representatives in domestic violence matters. However, it is assumed that, as with normal civil and criminal proceedings in Uganda, legal representatives will be permitted to assist in domestic violence proceedings.</w:t>
                  </w:r>
                </w:p>
                <w:p>
                  <w:pPr>
                    <w:pStyle w:val="BodyText"/>
                  </w:pPr>
                  <w:r>
                    <w:rPr>
                      <w:b/>
                    </w:rPr>
                    <w:t xml:space="preserve">Comparison between Ugandan law and the CEDAW</w:t>
                  </w:r>
                  <w:r>
                    <w:t xml:space="preserve"> </w:t>
                  </w:r>
                </w:p>
                <w:p>
                  <w:pPr>
                    <w:pStyle w:val="BodyText"/>
                  </w:pPr>
                  <w:r>
                    <w:t xml:space="preserve">The CEDAW recommends that all legal systems, including plural legal systems, protect victims of gender-based violence and ensure that they have access to justice and effective reparations. The Domestic Violence Act has addressed this requirement and it promotes access to justice by implementing the following:</w:t>
                  </w:r>
                </w:p>
                <w:p>
                  <w:pPr>
                    <w:pStyle w:val="BodyText"/>
                  </w:pPr>
                  <w:pPr>
                    <w:pStyle w:val="ListParagraph"/>
                    <w:numPr>
                      <w:ilvl w:val="0"/>
                      <w:numId w:val="12"/>
                    </w:numPr>
                  </w:pPr>
                  <w:r>
                    <w:t xml:space="preserve">Victims have two avenues available to them in reporting gender-based violence: (i) through local council courts or magistrates' courts; and (ii) through the police.</w:t>
                  </w:r>
                </w:p>
                <w:p>
                  <w:pPr>
                    <w:pStyle w:val="BodyText"/>
                  </w:pPr>
                  <w:pPr>
                    <w:pStyle w:val="ListParagraph"/>
                    <w:numPr>
                      <w:ilvl w:val="0"/>
                      <w:numId w:val="12"/>
                    </w:numPr>
                  </w:pPr>
                  <w:r>
                    <w:t xml:space="preserve">Section 9 of the Domestic Violence Act states that if a member of a local council court, the executive committee or local government has a reason to believe that domestic violence has occurred and no complaint has been lodged, that member can inform the probation and social welfare officer and request them to make enquiries and take further action as necessary.</w:t>
                  </w:r>
                </w:p>
                <w:p>
                  <w:pPr>
                    <w:pStyle w:val="BodyText"/>
                  </w:pPr>
                  <w:pPr>
                    <w:pStyle w:val="ListParagraph"/>
                    <w:numPr>
                      <w:ilvl w:val="0"/>
                      <w:numId w:val="12"/>
                    </w:numPr>
                  </w:pPr>
                  <w:r>
                    <w:t xml:space="preserve">Sections 10 and 11 of the Domestic Violence Act require the local council court to treat all cases of domestic violence with urgency and to hear all reported cases within 48 hours after the compliant has been reported, even on days that are not ordinarily working days.</w:t>
                  </w:r>
                </w:p>
                <w:p>
                  <w:pPr>
                    <w:pStyle w:val="BodyText"/>
                  </w:pPr>
                  <w:pPr>
                    <w:pStyle w:val="ListParagraph"/>
                    <w:numPr>
                      <w:ilvl w:val="0"/>
                      <w:numId w:val="12"/>
                    </w:numPr>
                  </w:pPr>
                  <w:r>
                    <w:t xml:space="preserve">Section 12 of the Domestic Violence Act gives complainants the authority to appeal a decision of the local council court if they are not satisfied with the outcome.</w:t>
                  </w:r>
                </w:p>
                <w:p>
                  <w:pPr>
                    <w:pStyle w:val="BodyText"/>
                  </w:pPr>
                  <w:pPr>
                    <w:pStyle w:val="ListParagraph"/>
                    <w:numPr>
                      <w:ilvl w:val="0"/>
                      <w:numId w:val="12"/>
                    </w:numPr>
                  </w:pPr>
                  <w:r>
                    <w:t xml:space="preserve">Section 7 of the Domestic Violence Act provides specific circumstances where a domestic violence complaint can be made directly to the police.</w:t>
                  </w:r>
                </w:p>
                <w:p>
                  <w:pPr>
                    <w:pStyle w:val="BodyText"/>
                  </w:pPr>
                  <w:pPr>
                    <w:pStyle w:val="ListParagraph"/>
                    <w:numPr>
                      <w:ilvl w:val="0"/>
                      <w:numId w:val="12"/>
                    </w:numPr>
                  </w:pPr>
                  <w:r>
                    <w:t xml:space="preserve">The Civil Procedure Rules provide guidance on witnesses and witness proceedings in domestic violence cases.</w:t>
                  </w:r>
                </w:p>
                <w:p>
                  <w:pPr>
                    <w:pStyle w:val="BodyText"/>
                  </w:pPr>
                  <w:pPr>
                    <w:pStyle w:val="ListParagraph"/>
                    <w:numPr>
                      <w:ilvl w:val="0"/>
                      <w:numId w:val="12"/>
                    </w:numPr>
                  </w:pPr>
                  <w:r>
                    <w:t xml:space="preserve">Regulation 44 of the Domestic Violence Regulations lists the types of evidence that are required in domestic violence cases.</w:t>
                  </w:r>
                </w:p>
                <w:p>
                  <w:pPr>
                    <w:pStyle w:val="BodyText"/>
                  </w:pPr>
                  <w:pPr>
                    <w:pStyle w:val="ListParagraph"/>
                    <w:numPr>
                      <w:ilvl w:val="0"/>
                      <w:numId w:val="12"/>
                    </w:numPr>
                  </w:pPr>
                  <w:r>
                    <w:t xml:space="preserve">Regulations 39 and 29 (respectively) of the Domestic Violence Regulations cater for instances where the procedures in domestic violence proceedings will be regulated by laws governing criminal procedure as well as civil procedure in the magistrates' courts. </w:t>
                  </w:r>
                </w:p>
                <w:p>
                  <w:pPr>
                    <w:pStyle w:val="BodyText"/>
                  </w:pPr>
                  <w:r>
                    <w:t xml:space="preserve">The CEDAW recommends that gender-based violence cases must not (mandatorily) be referred to alternative dispute resolutions, such as mediation and conciliation, unless the matter has been analyzed by specialized teams and the victim's consent to the process has been given, and that there is no risk of any further harm to the victims or their families. Regulation 12 of the Domestic Violence Regulations states that if a court finds it necessary, it may refer parties to mediation and counseling to an appropriate person or authority. However, the Domestic Violence Regulations do not provide any further requirements for circumstances whereby courts can refer domestic violence claims to mediation and counseling.</w:t>
                  </w:r>
                </w:p>
                <w:p>
                  <w:pPr>
                    <w:pStyle w:val="BodyText"/>
                  </w:pPr>
                  <w:r>
                    <w:t xml:space="preserve">Lastly, the CEDAW recommends that discriminatory evidentiary rules and procedures should be repealed from legislation. In terms of the Domestic Violence Act, the grounds for the justification of domestic violence are insanity and self-defense. Further, it is not required to prove willful intent and consent is not a ground of justification for domestic violence. This provides guidance on the type of evidence that can be led in cases involving domestic violence. As such, we can conclude that the legislation on domestic violence does not contain discriminatory evidentiary rules and procedures.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6.	Special issues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6.1 Battered woman syndrome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6.1.1 Can lawyers present evidence of battered woman syndrome or other domestic abuse as an affirmative defense to crimes that the battered woman has committed? (Note: Battered Woman Syndrome is accepted by courts in certain jurisdictions to show that battered women can use force to defend themselves and sometimes kill their abusers due to abusive and life-threatening situations.)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Evidence of battered woman syndrome or other domestic abuse may be presented to the court, given that such evidence may be relevant to support a defense of provocation or self-defense in criminal proceedings.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6.2 Domestic violence in the workplace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6.2.1 Can courts issue orders to protect employees suffering from domestic violence?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law does not restrict protection orders being issued to protect employees experiencing domestic violence. There are no specific rules applicable to domestic violence in the workplace and the protection of employees. However, the Employment (Sexual Harassment) Regulations, 2012 specifically regulate the sexual harassment of employees in the workplace. These regulations, for example, provide that employers with more than 25 employees must adopt a policy against sexual harassment in the workplace and must establish a sexual harassment committee. Further, the regulations provide for the procedure to lodge a complaint of sexual harassment in the workplace. Family members of victims of domestic violence can take reasonable leave to help victims seek treatment or obtain help and services. In most workplaces, reasonable leave may be referred to as compassionate leave to assist a victim of domestic violence.</w:t>
                  </w:r>
                </w:p>
                <w:p>
                  <w:pPr>
                    <w:pStyle w:val="BodyText"/>
                  </w:pP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6.2.2 Can departure be deemed "for good cause" if related to domestic violence?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Please refer to section 6.2.1.</w:t>
                  </w:r>
                </w:p>
                <w:p>
                  <w:pPr>
                    <w:pStyle w:val="BodyText"/>
                  </w:pP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6.2.3 Can family members of domestic violence victims take reasonable leave to help the victim seek treatment or obtain help and services?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Please refer to section 6.2.1.</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6.3 Immigration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6.3.1 Does the law include provisions that are intended to prevent abusers who are citizens or permanent residents from using immigration laws to perpetrate domestic violence against their spouse?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Ugandan law does not contain specific provisions that are intended to prevent abusers, who are citizens or permanent residents, from using immigration laws to perpetrate domestic violence against their spouse(s). Section 40 of the Sexual Offenses Bill, 32 of 2019 looks to provide the extraterritorial application of the law to combat sexual violence on Ugandan citizens by Ugandan citizens and residents while outside the country.</w:t>
                  </w:r>
                </w:p>
                <w:p>
                  <w:pPr>
                    <w:pStyle w:val="BodyText"/>
                  </w:pPr>
                  <w:r>
                    <w:t xml:space="preserve"> We are not aware of any specific immigration remedies that are available to battered immigrants who cooperate with law enforcement in instances of domestic violence. Furthermore, the law is silent on asylum accessibility. </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6.3.2 If battered immigrants cooperate with law enforcement in domestic violence, can they obtain immigration remedies?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Please refer to section 6.3.1. </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6.3.3 Does domestic violence law discuss asylum accessibility?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Please refer to section 6.3.1. </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6.4 Armed forces </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6.4.1 Can a victim seek a military protective order if the abuser is in active military?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In terms of Ugandan law, a military protection order is not available to victims who experience domestic violence perpetrated by a member of the military.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6.5 Child custody and child/spousal support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6.5.1 Do judges follow special rules to determine custody or visitation of children in domestic violence cases?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In terms of Section 6(7) of the Domestic Violence Act, a local council court must inquire into and establish whether there are children involved in the domestic relationship where a complaint of domestic abuse has been made. Section 6(8) of the Domestic Violence Act requires that, where it is established that children are involved, the local council court must make a written order to the probation and social welfare officer to make an inquiry and to take any necessary action regarding the welfare of the child in accordance with the Children Act. The overriding consideration in cases involving children is the "best interest of the child." However, there are no special rules to determine custody or visitation rights.</w:t>
                  </w:r>
                </w:p>
                <w:p>
                  <w:pPr>
                    <w:pStyle w:val="BodyText"/>
                  </w:pPr>
                  <w:r>
                    <w:t xml:space="preserve"> A judge can rely on the evidence of a spouse or child in determining custody, provided that the evidence is reliable and credible and the person testifying is a competent witness within the meaning of the Evidence Act.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6.5.2 Can the judge consider the testimonies of the other spouse and the children when determining custody?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Please refer to section 6.5.1.</w:t>
                  </w:r>
                </w:p>
                <w:p>
                  <w:pPr>
                    <w:pStyle w:val="BodyText"/>
                  </w:pP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6.6 Housing rights of domestic violence victims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6.6.1 Does the law include any barriers to prevent landlords from forcing a tenant to move out because they are victims of domestic violence?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In terms of Ugandan law, tenancy agreements are contractual in nature. The overriding consideration in tenancy agreements is that the contract should not offend public policy. Nevertheless, there are no express provisions in any law providing any barriers that prevent landlords from forcing tenants to vacate because the tenants are victims of domestic violence.</w:t>
                  </w:r>
                </w:p>
                <w:p>
                  <w:pPr>
                    <w:pStyle w:val="BodyText"/>
                  </w:pPr>
                  <w:r>
                    <w:t xml:space="preserve">In the event that a tenancy agreement contains an express provision on early termination based on domestic violence, the provision would be valid and enforceable. In the absence of such a provision, the law does not provide for early termination based on domestic violence.</w:t>
                  </w:r>
                </w:p>
                <w:p>
                  <w:pPr>
                    <w:pStyle w:val="BodyText"/>
                  </w:pPr>
                  <w:r>
                    <w:t xml:space="preserve">In terms of Regulation 33 of the Domestic Violence Regulations, where there are exceptional circumstances, regarding a protection order, a court may order that a perpetrator of domestic violence vacate the matrimonial home. A matrimonial home is understood to mean the principal residence for married persons. Exceptional circumstances will exist where the perpetrator threatens to kill the victim or where the perpetrator has attempted to kill the victim. A decision to order that a perpetrator vacate the matrimonial home must be made based on evidence submitted before the respective court and a report by the probation and social welfare officer. The court must consider the following:</w:t>
                  </w:r>
                </w:p>
                <w:p>
                  <w:pPr>
                    <w:pStyle w:val="BodyText"/>
                  </w:pPr>
                  <w:pPr>
                    <w:pStyle w:val="ListParagraph"/>
                    <w:numPr>
                      <w:ilvl w:val="0"/>
                      <w:numId w:val="10"/>
                    </w:numPr>
                  </w:pPr>
                  <w:r>
                    <w:t xml:space="preserve">the respective housing needs of the parties and children if any</w:t>
                  </w:r>
                </w:p>
                <w:p>
                  <w:pPr>
                    <w:pStyle w:val="BodyText"/>
                  </w:pPr>
                  <w:pPr>
                    <w:pStyle w:val="ListParagraph"/>
                    <w:numPr>
                      <w:ilvl w:val="0"/>
                      <w:numId w:val="10"/>
                    </w:numPr>
                  </w:pPr>
                  <w:r>
                    <w:t xml:space="preserve">the financial resources of either party</w:t>
                  </w:r>
                </w:p>
                <w:p>
                  <w:pPr>
                    <w:pStyle w:val="BodyText"/>
                  </w:pPr>
                  <w:pPr>
                    <w:pStyle w:val="ListParagraph"/>
                    <w:numPr>
                      <w:ilvl w:val="0"/>
                      <w:numId w:val="10"/>
                    </w:numPr>
                  </w:pPr>
                  <w:r>
                    <w:t xml:space="preserve">the likely effect of the order on the health, safety and welfare of the parties and the children, if any</w:t>
                  </w:r>
                </w:p>
                <w:p>
                  <w:pPr>
                    <w:pStyle w:val="BodyText"/>
                  </w:pPr>
                  <w:pPr>
                    <w:pStyle w:val="ListParagraph"/>
                    <w:numPr>
                      <w:ilvl w:val="0"/>
                      <w:numId w:val="10"/>
                    </w:numPr>
                  </w:pPr>
                  <w:r>
                    <w:t xml:space="preserve">where the court considers it in the interest of justice to do so</w:t>
                  </w:r>
                </w:p>
                <w:p>
                  <w:pPr>
                    <w:pStyle w:val="BodyText"/>
                  </w:pPr>
                  <w:r>
                    <w:t xml:space="preserve">The report prepared by the probation and social welfare officer must contain the following information:</w:t>
                  </w:r>
                </w:p>
                <w:p>
                  <w:pPr>
                    <w:pStyle w:val="BodyText"/>
                  </w:pPr>
                  <w:pPr>
                    <w:pStyle w:val="ListParagraph"/>
                    <w:numPr>
                      <w:ilvl w:val="0"/>
                      <w:numId w:val="11"/>
                    </w:numPr>
                  </w:pPr>
                  <w:r>
                    <w:t xml:space="preserve">the place of residence of the victim and perpetrator</w:t>
                  </w:r>
                </w:p>
                <w:p>
                  <w:pPr>
                    <w:pStyle w:val="BodyText"/>
                  </w:pPr>
                  <w:pPr>
                    <w:pStyle w:val="ListParagraph"/>
                    <w:numPr>
                      <w:ilvl w:val="0"/>
                      <w:numId w:val="11"/>
                    </w:numPr>
                  </w:pPr>
                  <w:r>
                    <w:t xml:space="preserve">whether the couple live in a rented home or not and, if so, the party responsible for the payment of rent</w:t>
                  </w:r>
                </w:p>
                <w:p>
                  <w:pPr>
                    <w:pStyle w:val="BodyText"/>
                  </w:pPr>
                  <w:pPr>
                    <w:pStyle w:val="ListParagraph"/>
                    <w:numPr>
                      <w:ilvl w:val="0"/>
                      <w:numId w:val="11"/>
                    </w:numPr>
                  </w:pPr>
                  <w:r>
                    <w:t xml:space="preserve">whether the applicant is employed and has the capacity to pay the rent</w:t>
                  </w:r>
                </w:p>
                <w:p>
                  <w:pPr>
                    <w:pStyle w:val="BodyText"/>
                  </w:pPr>
                  <w:pPr>
                    <w:pStyle w:val="ListParagraph"/>
                    <w:numPr>
                      <w:ilvl w:val="0"/>
                      <w:numId w:val="11"/>
                    </w:numPr>
                  </w:pPr>
                  <w:r>
                    <w:t xml:space="preserve">the reasonable accommodation needs of all persons who may be affected by the order </w:t>
                  </w:r>
                </w:p>
                <w:p>
                  <w:pPr>
                    <w:pStyle w:val="BodyText"/>
                  </w:pPr>
                  <w:pPr>
                    <w:pStyle w:val="ListParagraph"/>
                    <w:numPr>
                      <w:ilvl w:val="0"/>
                      <w:numId w:val="11"/>
                    </w:numPr>
                  </w:pPr>
                  <w:r>
                    <w:t xml:space="preserve">the best interests of the children of the applicant's family, if any </w:t>
                  </w:r>
                </w:p>
                <w:p>
                  <w:pPr>
                    <w:pStyle w:val="BodyText"/>
                  </w:pPr>
                  <w:r>
                    <w:t xml:space="preserve">The court is under an obligation to make an order where it appears likely that the applicant, a child or any other person will suffer significant harm if the order is not made. If an order to vacate the matrimonial home is made, the court must serve a copy of the order on the officer in charge of the police station that is nearest to where the complainant resides and the local council chairperson in the area in which the complainant resides.</w:t>
                  </w:r>
                </w:p>
                <w:p>
                  <w:pPr>
                    <w:pStyle w:val="BodyText"/>
                  </w:pPr>
                  <w:r>
                    <w:t xml:space="preserve"> Neither the Domestic Violence Act nor the Domestic Violence Regulations specifically deal with the question of whether abusers can be forbidden by a court order to alienate or mortgage the property in his/her name if it is the family domicile. However, in terms of the Mortgage Regulations, 2 of 2012, before a party can take out a mortgage, it must be established if that person has a spouse and, if so, the person must make a statutory declaration to that effect and must attach a copy of their marriage certificate as proof. It does not distinguish between parties married in a community of property or parties married out of a community of property. </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6.6.2 Does the law allow a tenant to terminate his/her lease early due to domestic violence?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Please refer to section 6.6.1.</w:t>
                  </w:r>
                </w:p>
                <w:p>
                  <w:pPr>
                    <w:pStyle w:val="BodyText"/>
                  </w:pP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6.6.3 Can an order exclude the abuser from the residence?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Please refer to section 6.6.1.</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6.6.4 Can abusers be forbidden by court orders to alienate or mortgage the property in his/her name if it is the family domicile?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Please refer to section 6.6.1.</w:t>
                  </w: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6.7 Possession of drugs and weapons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p>
                  <w:pPr>
                    <w:pStyle w:val="BodyText"/>
                  </w:pPr>
                  <w:r>
                    <w:t xml:space="preserve">A charge for the possession of drugs may not be brought under domestic violence legislation and a conviction on a domestic violence charge will be restricted to the sentence provided under the relevant law. The possession of drugs is a separate offense, a charge for which must be brought under the National Drug Policy and Authority Act and/or the National Drugs and Psychotropic Substance (Control) Act, 2019. A domestic violence conviction alone cannot prevent an abuser from possessing drugs. However, an abuser may be prevented from possessing drugs in circumstances where the abuser is charged and convicted for both, an offense of domestic violence and an offense of drug possession, on the same charge sheet. For a joinder of offenses, where an accused person is alleged to have committed more than one offense, he/she may be charged in the same proceedings with all the offenses provided that the offenses are founded on the same facts or form part of a series of offenses of the same or similar character.</w:t>
                  </w:r>
                  <w:r>
                    <w:rPr>
                      <w:color w:val="8DB3E2"/>
                      <w:vertAlign w:val="superscript"/>
                    </w:rPr>
                    <w:t xml:space="preserve">[39]</w:t>
                  </w:r>
                </w:p>
                <w:p>
                  <w:pPr>
                    <w:pStyle w:val="BodyText"/>
                  </w:pPr>
                  <w:r>
                    <w:t xml:space="preserve"> </w:t>
                  </w:r>
                </w:p>
                <w:p>
                  <w:pPr>
                    <w:pStyle w:val="BodyText"/>
                  </w:pPr>
                  <w:r>
                    <w:t xml:space="preserve">In terms of Regulation 43 of the Domestic Violence Regulations, where a court is satisfied, based on the evidence placed before it, that a perpetrator of domestic violence is in control of a dangerous weapon and that such weapon has been or is likely to be used in domestic violence, the court may order that the weapon be seized. As such, there is no peremptory requirement for legal authorities to seize the weapons of a perpetrator.</w:t>
                  </w:r>
                </w:p>
                <w:p>
                  <w:pPr>
                    <w:pStyle w:val="BodyText"/>
                  </w:pPr>
                  <w:r>
                    <w:t xml:space="preserve"> </w:t>
                  </w:r>
                </w:p>
                <w:p>
                  <w:pPr>
                    <w:pStyle w:val="BodyText"/>
                  </w:pPr>
                  <w:r>
                    <w:t xml:space="preserve">A separate civil process is not required. However, in terms of Regulation 43(2), regarding the application by any person, the court may make an order for the seizure of any dangerous weapon that is in the possession or under the control of the perpetrator, where the court is satisfied on the evidence placed before it that the dangerous weapon has been used or is likely to be used in domestic violence. The application for this order can be made orally or in writing. We envisage that the application can take place on an interlocutory basis in writing or by the applicant's representative on their feet (as it were) if it were requested orally.</w:t>
                  </w:r>
                </w:p>
                <w:p>
                  <w:pPr>
                    <w:pStyle w:val="BodyText"/>
                  </w:pPr>
                  <w:r>
                    <w:t xml:space="preserve"> </w:t>
                  </w:r>
                </w:p>
                <w:p>
                  <w:pPr>
                    <w:pStyle w:val="BodyText"/>
                  </w:pPr>
                  <w:r>
                    <w:t xml:space="preserve">We note that a court may also refer a matter involving dangerous weapon(s) in the possession or under the control of the perpetrator to the police for seizure and custody.</w:t>
                  </w:r>
                </w:p>
                <w:p>
                  <w:pPr>
                    <w:pStyle w:val="BodyText"/>
                  </w:pPr>
                  <w:r>
                    <w:br/>
                  </w:r>
                  <w:r>
                    <w:br/>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7. Endnotes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color w:val="000000"/>
                      <w:vertAlign w:val="superscript"/>
                    </w:rPr>
                    <w:t xml:space="preserve">[1]</w:t>
                  </w:r>
                  <w:r>
                    <w:t xml:space="preserve">    </w:t>
                  </w:r>
                  <w:r>
                    <w:t xml:space="preserve">Cana</w:t>
                  </w:r>
                  <w:r>
                    <w:t xml:space="preserve">da: Immigration and Refugee Board of Canada, "Uganda: Domestic violence, including legislation, statistics and attitudes toward domestic violence; the availability of protection and support services," 19 June 2008, available at </w:t>
                  </w:r>
                  <w:hyperlink w:history="true" r:id="R573259bcb1b94985">
                    <w:r>
                      <w:rPr>
                        <w:rStyle w:val="Hyperlink"/>
                      </w:rPr>
                      <w:t xml:space="preserve">https://www.refworld.org/docid/49b92b20c.html</w:t>
                    </w:r>
                  </w:hyperlink>
                  <w:r>
                    <w:t xml:space="preserve">.</w:t>
                  </w:r>
                </w:p>
                <w:p>
                  <w:pPr>
                    <w:pStyle w:val="BodyText"/>
                  </w:pPr>
                  <w:r>
                    <w:rPr>
                      <w:color w:val="000000"/>
                      <w:vertAlign w:val="superscript"/>
                    </w:rPr>
                    <w:t xml:space="preserve">[2]</w:t>
                  </w:r>
                  <w:r>
                    <w:rPr>
                      <w:vertAlign w:val="superscript"/>
                    </w:rPr>
                    <w:t xml:space="preserve"> </w:t>
                  </w:r>
                  <w:r>
                    <w:t xml:space="preserve">   </w:t>
                  </w:r>
                  <w:r>
                    <w:t xml:space="preserve">C. Namakula "The court record and the right to a fair trial: Botswana and Uganda" (2016) 16 </w:t>
                  </w:r>
                  <w:r>
                    <w:rPr>
                      <w:i/>
                    </w:rPr>
                    <w:t xml:space="preserve">African Human Rights Law Journal</w:t>
                  </w:r>
                  <w:r>
                    <w:t xml:space="preserve">.</w:t>
                  </w:r>
                </w:p>
                <w:p>
                  <w:pPr>
                    <w:pStyle w:val="BodyText"/>
                  </w:pPr>
                  <w:r>
                    <w:rPr>
                      <w:color w:val="000000"/>
                      <w:vertAlign w:val="superscript"/>
                    </w:rPr>
                    <w:t xml:space="preserve">[3]</w:t>
                  </w:r>
                  <w:r>
                    <w:rPr>
                      <w:vertAlign w:val="superscript"/>
                    </w:rPr>
                    <w:t xml:space="preserve"> </w:t>
                  </w:r>
                  <w:r>
                    <w:t xml:space="preserve">   </w:t>
                  </w:r>
                  <w:r>
                    <w:t xml:space="preserve">Section 13 of the Local Council Courts Act, 2006 and Section 6(5) of the Domestic Violence Act.</w:t>
                  </w:r>
                </w:p>
                <w:p>
                  <w:pPr>
                    <w:pStyle w:val="BodyText"/>
                  </w:pPr>
                  <w:r>
                    <w:rPr>
                      <w:color w:val="000000"/>
                      <w:vertAlign w:val="superscript"/>
                    </w:rPr>
                    <w:t xml:space="preserve">[4]</w:t>
                  </w:r>
                  <w:r>
                    <w:t xml:space="preserve">    </w:t>
                  </w:r>
                  <w:r>
                    <w:t xml:space="preserve">Note 2 above.</w:t>
                  </w:r>
                </w:p>
                <w:p>
                  <w:pPr>
                    <w:pStyle w:val="BodyText"/>
                  </w:pPr>
                  <w:r>
                    <w:rPr>
                      <w:color w:val="000000"/>
                      <w:vertAlign w:val="superscript"/>
                    </w:rPr>
                    <w:t xml:space="preserve">[5]</w:t>
                  </w:r>
                  <w:r>
                    <w:rPr>
                      <w:vertAlign w:val="superscript"/>
                    </w:rPr>
                    <w:t xml:space="preserve"> </w:t>
                  </w:r>
                  <w:r>
                    <w:t xml:space="preserve">   </w:t>
                  </w:r>
                  <w:r>
                    <w:t xml:space="preserve">Section 24 of the Constitution of Uganda.</w:t>
                  </w:r>
                </w:p>
                <w:p>
                  <w:pPr>
                    <w:pStyle w:val="BodyText"/>
                  </w:pPr>
                  <w:r>
                    <w:rPr>
                      <w:color w:val="000000"/>
                      <w:vertAlign w:val="superscript"/>
                    </w:rPr>
                    <w:t xml:space="preserve">[6]</w:t>
                  </w:r>
                  <w:r>
                    <w:rPr>
                      <w:vertAlign w:val="superscript"/>
                    </w:rPr>
                    <w:t xml:space="preserve"> </w:t>
                  </w:r>
                  <w:r>
                    <w:t xml:space="preserve">   </w:t>
                  </w:r>
                  <w:r>
                    <w:t xml:space="preserve">Section 26 of note 5 above.</w:t>
                  </w:r>
                </w:p>
                <w:p>
                  <w:pPr>
                    <w:pStyle w:val="BodyText"/>
                  </w:pPr>
                  <w:r>
                    <w:rPr>
                      <w:color w:val="000000"/>
                      <w:vertAlign w:val="superscript"/>
                    </w:rPr>
                    <w:t xml:space="preserve">[7]</w:t>
                  </w:r>
                  <w:r>
                    <w:t xml:space="preserve">    </w:t>
                  </w:r>
                  <w:r>
                    <w:t xml:space="preserve">Section 33(2) of note 5 above.</w:t>
                  </w:r>
                </w:p>
                <w:p>
                  <w:pPr>
                    <w:pStyle w:val="BodyText"/>
                  </w:pPr>
                  <w:r>
                    <w:rPr>
                      <w:color w:val="000000"/>
                      <w:vertAlign w:val="superscript"/>
                    </w:rPr>
                    <w:t xml:space="preserve">[8]</w:t>
                  </w:r>
                  <w:r>
                    <w:t xml:space="preserve">    </w:t>
                  </w:r>
                  <w:r>
                    <w:t xml:space="preserve">Section 33(6) of note 5 above.</w:t>
                  </w:r>
                </w:p>
                <w:p>
                  <w:pPr>
                    <w:pStyle w:val="BodyText"/>
                  </w:pPr>
                  <w:r>
                    <w:rPr>
                      <w:color w:val="000000"/>
                      <w:vertAlign w:val="superscript"/>
                    </w:rPr>
                    <w:t xml:space="preserve">[9]</w:t>
                  </w:r>
                  <w:r>
                    <w:t xml:space="preserve">    </w:t>
                  </w:r>
                  <w:r>
                    <w:t xml:space="preserve">CEDAW/C/UGA/7 "</w:t>
                  </w:r>
                  <w:r>
                    <w:t xml:space="preserve">Combined 4th, 5th, 6th &amp; 7th periodic report on the implementation of</w:t>
                  </w:r>
                  <w:r>
                    <w:t xml:space="preserve"> </w:t>
                  </w:r>
                  <w:r>
                    <w:t xml:space="preserve">CEDAW in Uganda," 2009, available at</w:t>
                  </w:r>
                  <w:r>
                    <w:rPr>
                      <w:b/>
                    </w:rPr>
                    <w:t xml:space="preserve"> </w:t>
                  </w:r>
                  <w:hyperlink w:history="true" r:id="R6b50a53f4166409b">
                    <w:r>
                      <w:rPr>
                        <w:rStyle w:val="Hyperlink"/>
                      </w:rPr>
                      <w:t xml:space="preserve">https://www2.ohchr.org/english/bodies/cedaw/docs/AdvanceVersions/CEDAW-C-UGA-7.pdf</w:t>
                    </w:r>
                  </w:hyperlink>
                  <w:r>
                    <w:t xml:space="preserve">.</w:t>
                  </w:r>
                </w:p>
                <w:p>
                  <w:pPr>
                    <w:pStyle w:val="BodyText"/>
                  </w:pPr>
                  <w:r>
                    <w:rPr>
                      <w:color w:val="000000"/>
                      <w:vertAlign w:val="superscript"/>
                    </w:rPr>
                    <w:t xml:space="preserve">[10]</w:t>
                  </w:r>
                  <w:r>
                    <w:t xml:space="preserve">    </w:t>
                  </w:r>
                  <w:r>
                    <w:t xml:space="preserve">Inter-Parliamentary Union, "Implementing CEDAW in Uganda," 22 June 2017, available at </w:t>
                  </w:r>
                  <w:hyperlink w:history="true" r:id="R6aa3f9d6a0d24514">
                    <w:r>
                      <w:rPr>
                        <w:rStyle w:val="Hyperlink"/>
                      </w:rPr>
                      <w:t xml:space="preserve">https://www.ipu.org/news/news-in-brief/2017-06/implementing-cedaw-in-uganda</w:t>
                    </w:r>
                  </w:hyperlink>
                  <w:r>
                    <w:t xml:space="preserve">.</w:t>
                  </w:r>
                </w:p>
                <w:p>
                  <w:pPr>
                    <w:pStyle w:val="BodyText"/>
                  </w:pPr>
                  <w:r>
                    <w:rPr>
                      <w:color w:val="000000"/>
                      <w:vertAlign w:val="superscript"/>
                    </w:rPr>
                    <w:t xml:space="preserve">[11]</w:t>
                  </w:r>
                  <w:r>
                    <w:rPr>
                      <w:vertAlign w:val="superscript"/>
                    </w:rPr>
                    <w:t xml:space="preserve"> </w:t>
                  </w:r>
                  <w:r>
                    <w:t xml:space="preserve">   </w:t>
                  </w:r>
                  <w:r>
                    <w:t xml:space="preserve">Akina Mama Wa Afrika, "Maputo Protocol: A youth opportunity for advancing SRHR," 2017, available at </w:t>
                  </w:r>
                  <w:hyperlink w:history="true" r:id="Ra1bb506f7d6749ed">
                    <w:r>
                      <w:rPr>
                        <w:rStyle w:val="Hyperlink"/>
                      </w:rPr>
                      <w:t xml:space="preserve">https://www.reproductiverights.org/sites/default/files/documents/concluding_observations_5th_state_report_uganda.pdf</w:t>
                    </w:r>
                  </w:hyperlink>
                  <w:r>
                    <w:t xml:space="preserve">.</w:t>
                  </w:r>
                </w:p>
                <w:p>
                  <w:pPr>
                    <w:pStyle w:val="BodyText"/>
                  </w:pPr>
                  <w:r>
                    <w:rPr>
                      <w:color w:val="000000"/>
                      <w:vertAlign w:val="superscript"/>
                    </w:rPr>
                    <w:t xml:space="preserve">[12]</w:t>
                  </w:r>
                  <w:r>
                    <w:t xml:space="preserve">    </w:t>
                  </w:r>
                  <w:r>
                    <w:t xml:space="preserve">African Commission on Human and Peoples' Rights "</w:t>
                  </w:r>
                  <w:r>
                    <w:t xml:space="preserve">Concluding Observations and Recommendations on the 5th Periodic State Report of the Republic of Uganda (2010-2012)," 4-18 November 2015, available at </w:t>
                  </w:r>
                  <w:hyperlink w:history="true" r:id="R7c7f571677184cbd">
                    <w:r>
                      <w:rPr>
                        <w:rStyle w:val="Hyperlink"/>
                      </w:rPr>
                      <w:t xml:space="preserve">https://www.akinamamawaafrika.org/maputo-protocol-a-youth-opportunity-for-advancing-srhr/</w:t>
                    </w:r>
                  </w:hyperlink>
                  <w:r>
                    <w:t xml:space="preserve">.</w:t>
                  </w:r>
                </w:p>
                <w:p>
                  <w:pPr>
                    <w:pStyle w:val="BodyText"/>
                  </w:pPr>
                  <w:r>
                    <w:rPr>
                      <w:color w:val="000000"/>
                      <w:vertAlign w:val="superscript"/>
                    </w:rPr>
                    <w:t xml:space="preserve">[13]</w:t>
                  </w:r>
                  <w:r>
                    <w:t xml:space="preserve">    </w:t>
                  </w:r>
                  <w:r>
                    <w:t xml:space="preserve">Section 10(1) of the Domestic Violence Act.</w:t>
                  </w:r>
                </w:p>
                <w:p>
                  <w:pPr>
                    <w:pStyle w:val="BodyText"/>
                  </w:pPr>
                  <w:r>
                    <w:rPr>
                      <w:color w:val="000000"/>
                      <w:vertAlign w:val="superscript"/>
                    </w:rPr>
                    <w:t xml:space="preserve">[14]</w:t>
                  </w:r>
                  <w:r>
                    <w:rPr>
                      <w:vertAlign w:val="superscript"/>
                    </w:rPr>
                    <w:t xml:space="preserve"> </w:t>
                  </w:r>
                  <w:r>
                    <w:t xml:space="preserve">   </w:t>
                  </w:r>
                  <w:r>
                    <w:t xml:space="preserve">Section 10(2) of note 13 above.</w:t>
                  </w:r>
                </w:p>
                <w:p>
                  <w:pPr>
                    <w:pStyle w:val="BodyText"/>
                  </w:pPr>
                  <w:r>
                    <w:rPr>
                      <w:color w:val="000000"/>
                      <w:vertAlign w:val="superscript"/>
                    </w:rPr>
                    <w:t xml:space="preserve">[15]</w:t>
                  </w:r>
                  <w:r>
                    <w:t xml:space="preserve">    </w:t>
                  </w:r>
                  <w:r>
                    <w:t xml:space="preserve">Section 10(6) of note 13 above.</w:t>
                  </w:r>
                </w:p>
                <w:p>
                  <w:pPr>
                    <w:pStyle w:val="BodyText"/>
                  </w:pPr>
                  <w:r>
                    <w:rPr>
                      <w:color w:val="000000"/>
                      <w:vertAlign w:val="superscript"/>
                    </w:rPr>
                    <w:t xml:space="preserve">[16]</w:t>
                  </w:r>
                  <w:r>
                    <w:t xml:space="preserve">    </w:t>
                  </w:r>
                  <w:r>
                    <w:t xml:space="preserve">Section 13(2) of note 13 above.</w:t>
                  </w:r>
                </w:p>
                <w:p>
                  <w:pPr>
                    <w:pStyle w:val="BodyText"/>
                  </w:pPr>
                  <w:r>
                    <w:rPr>
                      <w:color w:val="000000"/>
                      <w:vertAlign w:val="superscript"/>
                    </w:rPr>
                    <w:t xml:space="preserve">[17]</w:t>
                  </w:r>
                  <w:r>
                    <w:rPr>
                      <w:vertAlign w:val="superscript"/>
                    </w:rPr>
                    <w:t xml:space="preserve"> </w:t>
                  </w:r>
                  <w:r>
                    <w:t xml:space="preserve">   </w:t>
                  </w:r>
                  <w:r>
                    <w:t xml:space="preserve">Section 13(3) of note 13 above.</w:t>
                  </w:r>
                </w:p>
                <w:p>
                  <w:pPr>
                    <w:pStyle w:val="BodyText"/>
                  </w:pPr>
                  <w:r>
                    <w:rPr>
                      <w:color w:val="000000"/>
                      <w:vertAlign w:val="superscript"/>
                    </w:rPr>
                    <w:t xml:space="preserve">[18]</w:t>
                  </w:r>
                  <w:r>
                    <w:t xml:space="preserve">    </w:t>
                  </w:r>
                  <w:r>
                    <w:t xml:space="preserve">Section 11(4) of note 13 above.</w:t>
                  </w:r>
                </w:p>
                <w:p>
                  <w:pPr>
                    <w:pStyle w:val="BodyText"/>
                  </w:pPr>
                  <w:r>
                    <w:rPr>
                      <w:color w:val="000000"/>
                      <w:vertAlign w:val="superscript"/>
                    </w:rPr>
                    <w:t xml:space="preserve">[19]</w:t>
                  </w:r>
                  <w:r>
                    <w:t xml:space="preserve">    </w:t>
                  </w:r>
                  <w:r>
                    <w:t xml:space="preserve">Section 13(4) of note 13 above.</w:t>
                  </w:r>
                </w:p>
                <w:p>
                  <w:pPr>
                    <w:pStyle w:val="BodyText"/>
                  </w:pPr>
                  <w:r>
                    <w:rPr>
                      <w:color w:val="000000"/>
                      <w:vertAlign w:val="superscript"/>
                    </w:rPr>
                    <w:t xml:space="preserve">[20]</w:t>
                  </w:r>
                  <w:r>
                    <w:rPr>
                      <w:vertAlign w:val="superscript"/>
                    </w:rPr>
                    <w:t xml:space="preserve"> </w:t>
                  </w:r>
                  <w:r>
                    <w:t xml:space="preserve">   </w:t>
                  </w:r>
                  <w:r>
                    <w:rPr>
                      <w:i/>
                    </w:rPr>
                    <w:t xml:space="preserve">Ex parte</w:t>
                  </w:r>
                  <w:r>
                    <w:t xml:space="preserve"> orders are made by, for or on the application of one party alone, and the judicial proceeding is conducted for the benefit of only one party.</w:t>
                  </w:r>
                </w:p>
                <w:p>
                  <w:pPr>
                    <w:pStyle w:val="BodyText"/>
                  </w:pPr>
                  <w:r>
                    <w:rPr>
                      <w:color w:val="000000"/>
                      <w:vertAlign w:val="superscript"/>
                    </w:rPr>
                    <w:t xml:space="preserve">[21]</w:t>
                  </w:r>
                  <w:r>
                    <w:rPr>
                      <w:vertAlign w:val="superscript"/>
                    </w:rPr>
                    <w:t xml:space="preserve">  </w:t>
                  </w:r>
                  <w:r>
                    <w:t xml:space="preserve">  </w:t>
                  </w:r>
                  <w:r>
                    <w:t xml:space="preserve">Section 12(1) of note 13 above.</w:t>
                  </w:r>
                </w:p>
                <w:p>
                  <w:pPr>
                    <w:pStyle w:val="BodyText"/>
                  </w:pPr>
                  <w:r>
                    <w:rPr>
                      <w:color w:val="000000"/>
                      <w:vertAlign w:val="superscript"/>
                    </w:rPr>
                    <w:t xml:space="preserve">[22]</w:t>
                  </w:r>
                  <w:r>
                    <w:t xml:space="preserve">    </w:t>
                  </w:r>
                  <w:r>
                    <w:t xml:space="preserve">Section 11(7) of note 13 above.</w:t>
                  </w:r>
                </w:p>
                <w:p>
                  <w:pPr>
                    <w:pStyle w:val="BodyText"/>
                  </w:pPr>
                  <w:r>
                    <w:rPr>
                      <w:color w:val="000000"/>
                      <w:vertAlign w:val="superscript"/>
                    </w:rPr>
                    <w:t xml:space="preserve">[23]</w:t>
                  </w:r>
                  <w:r>
                    <w:rPr>
                      <w:vertAlign w:val="superscript"/>
                    </w:rPr>
                    <w:t xml:space="preserve"> </w:t>
                  </w:r>
                  <w:r>
                    <w:t xml:space="preserve">   </w:t>
                  </w:r>
                  <w:r>
                    <w:t xml:space="preserve">Section 14(3) of note 13 above.</w:t>
                  </w:r>
                </w:p>
                <w:p>
                  <w:pPr>
                    <w:pStyle w:val="BodyText"/>
                  </w:pPr>
                  <w:r>
                    <w:rPr>
                      <w:color w:val="000000"/>
                      <w:vertAlign w:val="superscript"/>
                    </w:rPr>
                    <w:t xml:space="preserve">[24]</w:t>
                  </w:r>
                  <w:r>
                    <w:t xml:space="preserve">    </w:t>
                  </w:r>
                  <w:r>
                    <w:t xml:space="preserve">Schedule 2 of note 13 above. </w:t>
                  </w:r>
                </w:p>
                <w:p>
                  <w:pPr>
                    <w:pStyle w:val="BodyText"/>
                  </w:pPr>
                  <w:r>
                    <w:rPr>
                      <w:color w:val="000000"/>
                      <w:vertAlign w:val="superscript"/>
                    </w:rPr>
                    <w:t xml:space="preserve">[25]</w:t>
                  </w:r>
                  <w:r>
                    <w:t xml:space="preserve">    </w:t>
                  </w:r>
                  <w:r>
                    <w:t xml:space="preserve">CEDAW/C/GC/35 and Article 25 of the Maputo Protocol.</w:t>
                  </w:r>
                </w:p>
                <w:p>
                  <w:pPr>
                    <w:pStyle w:val="BodyText"/>
                  </w:pPr>
                  <w:r>
                    <w:rPr>
                      <w:color w:val="000000"/>
                      <w:vertAlign w:val="superscript"/>
                    </w:rPr>
                    <w:t xml:space="preserve">[26]</w:t>
                  </w:r>
                  <w:r>
                    <w:rPr>
                      <w:vertAlign w:val="superscript"/>
                    </w:rPr>
                    <w:t xml:space="preserve"> </w:t>
                  </w:r>
                  <w:r>
                    <w:t xml:space="preserve">   </w:t>
                  </w:r>
                  <w:r>
                    <w:t xml:space="preserve">CEDAW/C/GC/35 and Articles 25 and 26 of the Maputo Protocol.</w:t>
                  </w:r>
                </w:p>
                <w:p>
                  <w:pPr>
                    <w:pStyle w:val="BodyText"/>
                  </w:pPr>
                  <w:r>
                    <w:rPr>
                      <w:color w:val="000000"/>
                      <w:vertAlign w:val="superscript"/>
                    </w:rPr>
                    <w:t xml:space="preserve">[27]</w:t>
                  </w:r>
                  <w:r>
                    <w:rPr>
                      <w:vertAlign w:val="superscript"/>
                    </w:rPr>
                    <w:t xml:space="preserve"> </w:t>
                  </w:r>
                  <w:r>
                    <w:t xml:space="preserve">   </w:t>
                  </w:r>
                  <w:r>
                    <w:t xml:space="preserve">Section 31(a)(i) of the CEDAW/C/GC/35.</w:t>
                  </w:r>
                </w:p>
                <w:p>
                  <w:pPr>
                    <w:pStyle w:val="BodyText"/>
                  </w:pPr>
                  <w:r>
                    <w:rPr>
                      <w:color w:val="000000"/>
                      <w:vertAlign w:val="superscript"/>
                    </w:rPr>
                    <w:t xml:space="preserve">[28]</w:t>
                  </w:r>
                  <w:r>
                    <w:t xml:space="preserve">    </w:t>
                  </w:r>
                  <w:r>
                    <w:t xml:space="preserve">Section 12 of the Domestic Violence Act. </w:t>
                  </w:r>
                </w:p>
                <w:p>
                  <w:pPr>
                    <w:pStyle w:val="BodyText"/>
                  </w:pPr>
                  <w:r>
                    <w:rPr>
                      <w:color w:val="000000"/>
                      <w:vertAlign w:val="superscript"/>
                    </w:rPr>
                    <w:t xml:space="preserve">[29]</w:t>
                  </w:r>
                  <w:r>
                    <w:t xml:space="preserve">    </w:t>
                  </w:r>
                  <w:r>
                    <w:rPr>
                      <w:i/>
                    </w:rPr>
                    <w:t xml:space="preserve">In camera </w:t>
                  </w:r>
                  <w:r>
                    <w:t xml:space="preserve">hearings are closed or private sessions of the court, which could be held either in the judge's private chambers or in court when spectators have been excluded from the courtroom.</w:t>
                  </w:r>
                </w:p>
                <w:p>
                  <w:pPr>
                    <w:pStyle w:val="BodyText"/>
                  </w:pPr>
                  <w:r>
                    <w:rPr>
                      <w:color w:val="000000"/>
                      <w:vertAlign w:val="superscript"/>
                    </w:rPr>
                    <w:t xml:space="preserve">[30]</w:t>
                  </w:r>
                  <w:r>
                    <w:t xml:space="preserve">    </w:t>
                  </w:r>
                  <w:r>
                    <w:t xml:space="preserve">Regulation 13(1) of the Domestic Violence Regulations.</w:t>
                  </w:r>
                </w:p>
                <w:p>
                  <w:pPr>
                    <w:pStyle w:val="BodyText"/>
                  </w:pPr>
                  <w:r>
                    <w:rPr>
                      <w:color w:val="000000"/>
                      <w:vertAlign w:val="superscript"/>
                    </w:rPr>
                    <w:t xml:space="preserve">[31]</w:t>
                  </w:r>
                  <w:r>
                    <w:t xml:space="preserve">    </w:t>
                  </w:r>
                  <w:r>
                    <w:t xml:space="preserve">Section 31(a)(ii) of note 27 above</w:t>
                  </w:r>
                </w:p>
                <w:p>
                  <w:pPr>
                    <w:pStyle w:val="BodyText"/>
                  </w:pPr>
                  <w:r>
                    <w:rPr>
                      <w:color w:val="000000"/>
                      <w:vertAlign w:val="superscript"/>
                    </w:rPr>
                    <w:t xml:space="preserve">[32]</w:t>
                  </w:r>
                  <w:r>
                    <w:t xml:space="preserve">    </w:t>
                  </w:r>
                  <w:r>
                    <w:t xml:space="preserve">Regulation 33(2) of note 30 above.</w:t>
                  </w:r>
                </w:p>
                <w:p>
                  <w:pPr>
                    <w:pStyle w:val="BodyText"/>
                  </w:pPr>
                  <w:r>
                    <w:rPr>
                      <w:color w:val="000000"/>
                      <w:vertAlign w:val="superscript"/>
                    </w:rPr>
                    <w:t xml:space="preserve">[33]</w:t>
                  </w:r>
                  <w:r>
                    <w:rPr>
                      <w:vertAlign w:val="superscript"/>
                    </w:rPr>
                    <w:t xml:space="preserve"> </w:t>
                  </w:r>
                  <w:r>
                    <w:t xml:space="preserve">   </w:t>
                  </w:r>
                  <w:r>
                    <w:t xml:space="preserve">Article 8 of the Maputo Protocol.</w:t>
                  </w:r>
                </w:p>
                <w:p>
                  <w:pPr>
                    <w:pStyle w:val="BodyText"/>
                  </w:pPr>
                  <w:r>
                    <w:rPr>
                      <w:color w:val="000000"/>
                      <w:vertAlign w:val="superscript"/>
                    </w:rPr>
                    <w:t xml:space="preserve">[34]</w:t>
                  </w:r>
                  <w:r>
                    <w:rPr>
                      <w:vertAlign w:val="superscript"/>
                    </w:rPr>
                    <w:t xml:space="preserve"> </w:t>
                  </w:r>
                  <w:r>
                    <w:t xml:space="preserve">   </w:t>
                  </w:r>
                  <w:r>
                    <w:t xml:space="preserve">Section 32(a) of note 27 above.</w:t>
                  </w:r>
                </w:p>
                <w:p>
                  <w:pPr>
                    <w:pStyle w:val="BodyText"/>
                  </w:pPr>
                  <w:r>
                    <w:rPr>
                      <w:color w:val="000000"/>
                      <w:vertAlign w:val="superscript"/>
                    </w:rPr>
                    <w:t xml:space="preserve">[35]</w:t>
                  </w:r>
                  <w:r>
                    <w:rPr>
                      <w:vertAlign w:val="superscript"/>
                    </w:rPr>
                    <w:t xml:space="preserve"> </w:t>
                  </w:r>
                  <w:r>
                    <w:t xml:space="preserve">   </w:t>
                  </w:r>
                  <w:r>
                    <w:t xml:space="preserve">Section 33(a) of note 27 above. </w:t>
                  </w:r>
                </w:p>
                <w:p>
                  <w:pPr>
                    <w:pStyle w:val="BodyText"/>
                  </w:pPr>
                  <w:r>
                    <w:rPr>
                      <w:color w:val="000000"/>
                      <w:vertAlign w:val="superscript"/>
                    </w:rPr>
                    <w:t xml:space="preserve">[36]</w:t>
                  </w:r>
                  <w:r>
                    <w:t xml:space="preserve">    </w:t>
                  </w:r>
                  <w:r>
                    <w:t xml:space="preserve">Regulations 29 and 39 of note 30 above.</w:t>
                  </w:r>
                </w:p>
                <w:p>
                  <w:pPr>
                    <w:pStyle w:val="BodyText"/>
                  </w:pPr>
                  <w:r>
                    <w:rPr>
                      <w:color w:val="000000"/>
                      <w:vertAlign w:val="superscript"/>
                    </w:rPr>
                    <w:t xml:space="preserve">[37]</w:t>
                  </w:r>
                  <w:r>
                    <w:t xml:space="preserve">    </w:t>
                  </w:r>
                  <w:r>
                    <w:t xml:space="preserve">The Civil Procedure Rules were promulgated in terms of the Ugandan Civil Procedure Act.</w:t>
                  </w:r>
                </w:p>
                <w:p>
                  <w:pPr>
                    <w:pStyle w:val="BodyText"/>
                  </w:pPr>
                  <w:r>
                    <w:rPr>
                      <w:color w:val="000000"/>
                      <w:vertAlign w:val="superscript"/>
                    </w:rPr>
                    <w:t xml:space="preserve">[38]</w:t>
                  </w:r>
                  <w:r>
                    <w:t xml:space="preserve">    </w:t>
                  </w:r>
                  <w:r>
                    <w:t xml:space="preserve">Order XVI of the Civil Procedure Rules.</w:t>
                  </w:r>
                </w:p>
                <w:p>
                  <w:pPr>
                    <w:pStyle w:val="BodyText"/>
                  </w:pPr>
                  <w:r>
                    <w:rPr>
                      <w:color w:val="000000"/>
                      <w:vertAlign w:val="superscript"/>
                    </w:rPr>
                    <w:t xml:space="preserve">[39]</w:t>
                  </w:r>
                  <w:r>
                    <w:rPr>
                      <w:vertAlign w:val="superscript"/>
                    </w:rPr>
                    <w:t xml:space="preserve"> </w:t>
                  </w:r>
                  <w:r>
                    <w:t xml:space="preserve">   </w:t>
                  </w:r>
                  <w:r>
                    <w:t xml:space="preserve">Section 86(1) of the Magistrates' Court Act and Section 23(1) of the Trial on Indictment Act.</w:t>
                  </w:r>
                </w:p>
              </w:sdtContent>
            </w:sdt>
          </w:sdtContent>
        </w:sdt>
      </w:sdtContent>
    </w:sdt>
    <w:p>
      <w:pPr>
        <w:pStyle w:val="Disclaimer"/>
      </w:pPr>
      <w:r>
        <w:t xml:space="preserve"> </w:t>
      </w:r>
    </w:p>
    <w:p>
      <w:pPr>
        <w:pStyle w:val="Disclaimer"/>
      </w:pPr>
      <w:r>
        <w:t xml:space="preserve">©Copyright © 2025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747611" w:rsidP="002537D8" w:rsidRDefault="00747611" w14:paraId="3CC4838F" w14:textId="2D0C5289">
      <w:pPr>
        <w:pStyle w:val="Heading1"/>
      </w:pPr>
    </w:p>
    <w:sectPr w:rsidR="00747611"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F7766" w:rsidP="008407E2" w:rsidRDefault="00EF7766" w14:paraId="76822A5A" w14:textId="77777777">
      <w:pPr>
        <w:spacing w:after="0" w:line="240" w:lineRule="auto"/>
      </w:pPr>
      <w:r>
        <w:separator/>
      </w:r>
    </w:p>
  </w:endnote>
  <w:endnote w:type="continuationSeparator" w:id="0">
    <w:p w:rsidR="00EF7766" w:rsidP="008407E2" w:rsidRDefault="00EF7766" w14:paraId="5A23F51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03FC73C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CB0368" w:rsidRDefault="006851B1" w14:paraId="1AC669BB" w14:textId="2A698897">
    <w:pPr>
      <w:pStyle w:val="Footertext"/>
      <w:spacing w:after="120"/>
    </w:pPr>
    <w:r>
      <w:t>www.</w:t>
    </w:r>
    <w:r w:rsidR="00507F6E">
      <w:t>bakermckenzie.com</w:t>
    </w:r>
    <w:r w:rsidR="00EA11E4">
      <w:tab/>
      <w:t xml:space="preserve">Copyright </w:t>
    </w:r>
    <w:r w:rsidR="00EA11E4">
      <w:fldChar w:fldCharType="begin"/>
    </w:r>
    <w:r w:rsidR="00EA11E4">
      <w:instrText xml:space="preserve"> DATE  \@ "yyyy"  \* MERGEFORMAT </w:instrText>
    </w:r>
    <w:r w:rsidR="00EA11E4">
      <w:fldChar w:fldCharType="separate"/>
    </w:r>
    <w:r w:rsidR="00652219">
      <w:rPr>
        <w:noProof/>
      </w:rPr>
      <w:t>2021</w:t>
    </w:r>
    <w:r w:rsidR="00EA11E4">
      <w:fldChar w:fldCharType="end"/>
    </w:r>
    <w:r w:rsidR="001650B6">
      <w:tab/>
    </w:r>
    <w:r w:rsidR="001650B6">
      <w:fldChar w:fldCharType="begin"/>
    </w:r>
    <w:r w:rsidR="001650B6">
      <w:instrText xml:space="preserve"> PAGE  \* Arabic  \* MERGEFORMAT </w:instrText>
    </w:r>
    <w:r w:rsidR="001650B6">
      <w:fldChar w:fldCharType="separate"/>
    </w:r>
    <w:r w:rsidR="001650B6">
      <w:rPr>
        <w:noProof/>
      </w:rPr>
      <w:t>2</w:t>
    </w:r>
    <w:r w:rsidR="001650B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B7254" w:rsidP="0056371E" w:rsidRDefault="008D6B08" w14:paraId="03E16594" w14:textId="02BD64A9">
    <w:pPr>
      <w:pStyle w:val="Footertext"/>
      <w:spacing w:after="120"/>
    </w:pPr>
    <w:r w:rsidRPr="008D6B08">
      <w:t>https://resourcehub.bakermckenzie.com/en/resources/fighting-domestic-violence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F7766" w:rsidP="008407E2" w:rsidRDefault="00EF7766" w14:paraId="628901B0" w14:textId="77777777">
      <w:pPr>
        <w:spacing w:after="0" w:line="240" w:lineRule="auto"/>
      </w:pPr>
      <w:r>
        <w:separator/>
      </w:r>
    </w:p>
  </w:footnote>
  <w:footnote w:type="continuationSeparator" w:id="0">
    <w:p w:rsidR="00EF7766" w:rsidP="008407E2" w:rsidRDefault="00EF7766" w14:paraId="0D741ED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3262B14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4F5E4990">
          <wp:extent cx="1191555" cy="417044"/>
          <wp:effectExtent l="0" t="0" r="0" b="254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DD06B3" w:rsidRDefault="00DD06B3" w14:paraId="60E40330" w14:textId="1518E37E">
    <w:pPr>
      <w:pStyle w:val="Header"/>
      <w:spacing w:after="600"/>
    </w:pPr>
    <w:r>
      <w:rPr>
        <w:noProof/>
      </w:rPr>
      <w:drawing>
        <wp:inline distT="0" distB="0" distL="0" distR="0" wp14:anchorId="76DC22A6" wp14:editId="10CE121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8295921"/>
    <w:multiLevelType w:val="multilevel"/>
    <w:tmpl w:val="1124EE02"/>
    <w:numStyleLink w:val="1aiA"/>
  </w:abstractNum>
  <w:abstractNum w:abstractNumId="3" w15:restartNumberingAfterBreak="0">
    <w:nsid w:val="311524A7"/>
    <w:multiLevelType w:val="multilevel"/>
    <w:tmpl w:val="1124EE02"/>
    <w:numStyleLink w:val="1aiA"/>
  </w:abstractNum>
  <w:abstractNum w:abstractNumId="4"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6"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multiLevelType w:val="singleLevel"/>
    <w:lvl w:ilvl="0">
      <w:start w:val="1"/>
      <w:numFmt w:val="decimal"/>
      <w:lvlText w:val="%1."/>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
      <w:pPr>
        <w:ind w:left="420" w:hanging="360"/>
      </w:pPr>
    </w:lvl>
  </w:abstractNum>
  <w:abstractNum w:abstractNumId="12">
    <w:multiLevelType w:val="singleLevel"/>
    <w:lvl w:ilvl="0">
      <w:numFmt w:val="bullet"/>
      <w:lvlText w:val="o"/>
      <w:pPr>
        <w:ind w:left="420" w:hanging="360"/>
      </w:pPr>
    </w:lvl>
  </w:abstractNum>
  <w:abstractNum w:abstractNumId="13">
    <w:multiLevelType w:val="singleLevel"/>
    <w:lvl w:ilvl="0">
      <w:start w:val="1"/>
      <w:numFmt w:val="upperLetter"/>
      <w:lvlText w:val="%1."/>
      <w:pPr>
        <w:ind w:left="420" w:hanging="360"/>
      </w:pPr>
    </w:lvl>
  </w:abstractNum>
  <w:abstractNum w:abstractNumId="14">
    <w:multiLevelType w:val="singleLevel"/>
    <w:lvl w:ilvl="0">
      <w:start w:val="1"/>
      <w:numFmt w:val="lowerLetter"/>
      <w:lvlText w:val="%1."/>
      <w:pPr>
        <w:ind w:left="420" w:hanging="360"/>
      </w:pPr>
    </w:lvl>
  </w:abstractNum>
  <w:abstractNum w:abstractNumId="15">
    <w:multiLevelType w:val="singleLevel"/>
    <w:lvl w:ilvl="0">
      <w:start w:val="1"/>
      <w:numFmt w:val="upperRoman"/>
      <w:lvlText w:val="%1."/>
      <w:pPr>
        <w:ind w:left="420" w:hanging="360"/>
      </w:pPr>
    </w:lvl>
  </w:abstractNum>
  <w:abstractNum w:abstractNumId="16">
    <w:multiLevelType w:val="singleLevel"/>
    <w:lvl w:ilvl="0">
      <w:start w:val="1"/>
      <w:numFmt w:val="lowerRoman"/>
      <w:lvlText w:val="%1."/>
      <w:pPr>
        <w:ind w:left="420" w:hanging="360"/>
      </w:pPr>
    </w:lvl>
  </w:abstractNum>
  <w:abstractNum w:abstractNumId="17">
    <w:multiLevelType w:val="singleLevel"/>
    <w:lvl w:ilvl="0">
      <w:start w:val="1"/>
      <w:numFmt w:val="decimal"/>
      <w:lvlText w:val="%1."/>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
      <w:pPr>
        <w:ind w:left="420" w:hanging="360"/>
      </w:pPr>
    </w:lvl>
  </w:abstractNum>
  <w:abstractNum w:abstractNumId="20">
    <w:multiLevelType w:val="singleLevel"/>
    <w:lvl w:ilvl="0">
      <w:numFmt w:val="bullet"/>
      <w:lvlText w:val="o"/>
      <w:pPr>
        <w:ind w:left="420" w:hanging="360"/>
      </w:pPr>
    </w:lvl>
  </w:abstractNum>
  <w:abstractNum w:abstractNumId="21">
    <w:multiLevelType w:val="singleLevel"/>
    <w:lvl w:ilvl="0">
      <w:start w:val="1"/>
      <w:numFmt w:val="upperLetter"/>
      <w:lvlText w:val="%1."/>
      <w:pPr>
        <w:ind w:left="420" w:hanging="360"/>
      </w:pPr>
    </w:lvl>
  </w:abstractNum>
  <w:abstractNum w:abstractNumId="22">
    <w:multiLevelType w:val="singleLevel"/>
    <w:lvl w:ilvl="0">
      <w:start w:val="1"/>
      <w:numFmt w:val="lowerLetter"/>
      <w:lvlText w:val="%1."/>
      <w:pPr>
        <w:ind w:left="420" w:hanging="360"/>
      </w:pPr>
    </w:lvl>
  </w:abstractNum>
  <w:abstractNum w:abstractNumId="23">
    <w:multiLevelType w:val="singleLevel"/>
    <w:lvl w:ilvl="0">
      <w:start w:val="1"/>
      <w:numFmt w:val="upperRoman"/>
      <w:lvlText w:val="%1."/>
      <w:pPr>
        <w:ind w:left="420" w:hanging="360"/>
      </w:pPr>
    </w:lvl>
  </w:abstractNum>
  <w:abstractNum w:abstractNumId="24">
    <w:multiLevelType w:val="singleLevel"/>
    <w:lvl w:ilvl="0">
      <w:start w:val="1"/>
      <w:numFmt w:val="lowerRoman"/>
      <w:lvlText w:val="%1."/>
      <w:pPr>
        <w:ind w:left="420" w:hanging="360"/>
      </w:pPr>
    </w:lvl>
  </w:abstractNum>
  <w:abstractNum w:abstractNumId="25">
    <w:multiLevelType w:val="singleLevel"/>
    <w:lvl w:ilvl="0">
      <w:start w:val="1"/>
      <w:numFmt w:val="decimal"/>
      <w:lvlText w:val="%1."/>
      <w:pPr>
        <w:ind w:left="420" w:hanging="360"/>
      </w:pPr>
    </w:lvl>
  </w:abstractNum>
  <w:abstractNum w:abstractNumId="26">
    <w:multiLevelType w:val="singleLevel"/>
    <w:lvl w:ilvl="0">
      <w:numFmt w:val="bullet"/>
      <w:lvlText w:val="•"/>
      <w:pPr>
        <w:ind w:left="420" w:hanging="360"/>
      </w:pPr>
    </w:lvl>
  </w:abstractNum>
  <w:abstractNum w:abstractNumId="27">
    <w:multiLevelType w:val="singleLevel"/>
    <w:lvl w:ilvl="0">
      <w:numFmt w:val="bullet"/>
      <w:lvlText w:val="▪"/>
      <w:pPr>
        <w:ind w:left="420" w:hanging="360"/>
      </w:pPr>
    </w:lvl>
  </w:abstractNum>
  <w:abstractNum w:abstractNumId="28">
    <w:multiLevelType w:val="singleLevel"/>
    <w:lvl w:ilvl="0">
      <w:numFmt w:val="bullet"/>
      <w:lvlText w:val="o"/>
      <w:pPr>
        <w:ind w:left="420" w:hanging="360"/>
      </w:pPr>
    </w:lvl>
  </w:abstractNum>
  <w:abstractNum w:abstractNumId="29">
    <w:multiLevelType w:val="singleLevel"/>
    <w:lvl w:ilvl="0">
      <w:start w:val="1"/>
      <w:numFmt w:val="upperLetter"/>
      <w:lvlText w:val="%1."/>
      <w:pPr>
        <w:ind w:left="420" w:hanging="360"/>
      </w:pPr>
    </w:lvl>
  </w:abstractNum>
  <w:abstractNum w:abstractNumId="30">
    <w:multiLevelType w:val="singleLevel"/>
    <w:lvl w:ilvl="0">
      <w:start w:val="1"/>
      <w:numFmt w:val="lowerLetter"/>
      <w:lvlText w:val="%1."/>
      <w:pPr>
        <w:ind w:left="420" w:hanging="360"/>
      </w:pPr>
    </w:lvl>
  </w:abstractNum>
  <w:abstractNum w:abstractNumId="31">
    <w:multiLevelType w:val="singleLevel"/>
    <w:lvl w:ilvl="0">
      <w:start w:val="1"/>
      <w:numFmt w:val="upperRoman"/>
      <w:lvlText w:val="%1."/>
      <w:pPr>
        <w:ind w:left="420" w:hanging="360"/>
      </w:pPr>
    </w:lvl>
  </w:abstractNum>
  <w:abstractNum w:abstractNumId="32">
    <w:multiLevelType w:val="singleLevel"/>
    <w:lvl w:ilvl="0">
      <w:start w:val="1"/>
      <w:numFmt w:val="lowerRoman"/>
      <w:lvlText w:val="%1."/>
      <w:pPr>
        <w:ind w:left="420" w:hanging="360"/>
      </w:pPr>
    </w:lvl>
  </w:abstractNum>
  <w:abstractNum w:abstractNumId="33">
    <w:multiLevelType w:val="singleLevel"/>
    <w:lvl w:ilvl="0">
      <w:start w:val="1"/>
      <w:numFmt w:val="decimal"/>
      <w:lvlText w:val="%1."/>
      <w:pPr>
        <w:ind w:left="420" w:hanging="360"/>
      </w:pPr>
    </w:lvl>
  </w:abstractNum>
  <w:abstractNum w:abstractNumId="34">
    <w:multiLevelType w:val="singleLevel"/>
    <w:lvl w:ilvl="0">
      <w:numFmt w:val="bullet"/>
      <w:lvlText w:val="•"/>
      <w:pPr>
        <w:ind w:left="420" w:hanging="360"/>
      </w:pPr>
    </w:lvl>
  </w:abstractNum>
  <w:abstractNum w:abstractNumId="35">
    <w:multiLevelType w:val="singleLevel"/>
    <w:lvl w:ilvl="0">
      <w:numFmt w:val="bullet"/>
      <w:lvlText w:val="▪"/>
      <w:pPr>
        <w:ind w:left="420" w:hanging="360"/>
      </w:pPr>
    </w:lvl>
  </w:abstractNum>
  <w:abstractNum w:abstractNumId="36">
    <w:multiLevelType w:val="singleLevel"/>
    <w:lvl w:ilvl="0">
      <w:numFmt w:val="bullet"/>
      <w:lvlText w:val="o"/>
      <w:pPr>
        <w:ind w:left="420" w:hanging="360"/>
      </w:pPr>
    </w:lvl>
  </w:abstractNum>
  <w:abstractNum w:abstractNumId="37">
    <w:multiLevelType w:val="singleLevel"/>
    <w:lvl w:ilvl="0">
      <w:start w:val="1"/>
      <w:numFmt w:val="upperLetter"/>
      <w:lvlText w:val="%1."/>
      <w:pPr>
        <w:ind w:left="420" w:hanging="360"/>
      </w:pPr>
    </w:lvl>
  </w:abstractNum>
  <w:abstractNum w:abstractNumId="38">
    <w:multiLevelType w:val="singleLevel"/>
    <w:lvl w:ilvl="0">
      <w:start w:val="1"/>
      <w:numFmt w:val="lowerLetter"/>
      <w:lvlText w:val="%1."/>
      <w:pPr>
        <w:ind w:left="420" w:hanging="360"/>
      </w:pPr>
    </w:lvl>
  </w:abstractNum>
  <w:abstractNum w:abstractNumId="39">
    <w:multiLevelType w:val="singleLevel"/>
    <w:lvl w:ilvl="0">
      <w:start w:val="1"/>
      <w:numFmt w:val="upperRoman"/>
      <w:lvlText w:val="%1."/>
      <w:pPr>
        <w:ind w:left="420" w:hanging="360"/>
      </w:pPr>
    </w:lvl>
  </w:abstractNum>
  <w:abstractNum w:abstractNumId="40">
    <w:multiLevelType w:val="singleLevel"/>
    <w:lvl w:ilvl="0">
      <w:start w:val="1"/>
      <w:numFmt w:val="lowerRoman"/>
      <w:lvlText w:val="%1."/>
      <w:pPr>
        <w:ind w:left="420" w:hanging="360"/>
      </w:pPr>
    </w:lvl>
  </w:abstractNum>
  <w:abstractNum w:abstractNumId="41">
    <w:multiLevelType w:val="singleLevel"/>
    <w:lvl w:ilvl="0">
      <w:start w:val="1"/>
      <w:numFmt w:val="decimal"/>
      <w:lvlText w:val="%1."/>
      <w:pPr>
        <w:ind w:left="420" w:hanging="360"/>
      </w:pPr>
    </w:lvl>
  </w:abstractNum>
  <w:abstractNum w:abstractNumId="42">
    <w:multiLevelType w:val="singleLevel"/>
    <w:lvl w:ilvl="0">
      <w:numFmt w:val="bullet"/>
      <w:lvlText w:val="•"/>
      <w:pPr>
        <w:ind w:left="420" w:hanging="360"/>
      </w:pPr>
    </w:lvl>
  </w:abstractNum>
  <w:abstractNum w:abstractNumId="43">
    <w:multiLevelType w:val="singleLevel"/>
    <w:lvl w:ilvl="0">
      <w:numFmt w:val="bullet"/>
      <w:lvlText w:val="▪"/>
      <w:pPr>
        <w:ind w:left="420" w:hanging="360"/>
      </w:pPr>
    </w:lvl>
  </w:abstractNum>
  <w:abstractNum w:abstractNumId="44">
    <w:multiLevelType w:val="singleLevel"/>
    <w:lvl w:ilvl="0">
      <w:numFmt w:val="bullet"/>
      <w:lvlText w:val="o"/>
      <w:pPr>
        <w:ind w:left="420" w:hanging="360"/>
      </w:pPr>
    </w:lvl>
  </w:abstractNum>
  <w:abstractNum w:abstractNumId="45">
    <w:multiLevelType w:val="singleLevel"/>
    <w:lvl w:ilvl="0">
      <w:start w:val="1"/>
      <w:numFmt w:val="upperLetter"/>
      <w:lvlText w:val="%1."/>
      <w:pPr>
        <w:ind w:left="420" w:hanging="360"/>
      </w:pPr>
    </w:lvl>
  </w:abstractNum>
  <w:abstractNum w:abstractNumId="46">
    <w:multiLevelType w:val="singleLevel"/>
    <w:lvl w:ilvl="0">
      <w:start w:val="1"/>
      <w:numFmt w:val="lowerLetter"/>
      <w:lvlText w:val="%1."/>
      <w:pPr>
        <w:ind w:left="420" w:hanging="360"/>
      </w:pPr>
    </w:lvl>
  </w:abstractNum>
  <w:abstractNum w:abstractNumId="47">
    <w:multiLevelType w:val="singleLevel"/>
    <w:lvl w:ilvl="0">
      <w:start w:val="1"/>
      <w:numFmt w:val="upperRoman"/>
      <w:lvlText w:val="%1."/>
      <w:pPr>
        <w:ind w:left="420" w:hanging="360"/>
      </w:pPr>
    </w:lvl>
  </w:abstractNum>
  <w:abstractNum w:abstractNumId="48">
    <w:multiLevelType w:val="singleLevel"/>
    <w:lvl w:ilvl="0">
      <w:start w:val="1"/>
      <w:numFmt w:val="lowerRoman"/>
      <w:lvlText w:val="%1."/>
      <w:pPr>
        <w:ind w:left="420" w:hanging="360"/>
      </w:pPr>
    </w:lvl>
  </w:abstractNum>
  <w:abstractNum w:abstractNumId="49">
    <w:multiLevelType w:val="singleLevel"/>
    <w:lvl w:ilvl="0">
      <w:start w:val="1"/>
      <w:numFmt w:val="decimal"/>
      <w:lvlText w:val="%1."/>
      <w:pPr>
        <w:ind w:left="420" w:hanging="360"/>
      </w:pPr>
    </w:lvl>
  </w:abstractNum>
  <w:abstractNum w:abstractNumId="50">
    <w:multiLevelType w:val="singleLevel"/>
    <w:lvl w:ilvl="0">
      <w:numFmt w:val="bullet"/>
      <w:lvlText w:val="•"/>
      <w:pPr>
        <w:ind w:left="420" w:hanging="360"/>
      </w:pPr>
    </w:lvl>
  </w:abstractNum>
  <w:abstractNum w:abstractNumId="51">
    <w:multiLevelType w:val="singleLevel"/>
    <w:lvl w:ilvl="0">
      <w:numFmt w:val="bullet"/>
      <w:lvlText w:val="▪"/>
      <w:pPr>
        <w:ind w:left="420" w:hanging="360"/>
      </w:pPr>
    </w:lvl>
  </w:abstractNum>
  <w:abstractNum w:abstractNumId="52">
    <w:multiLevelType w:val="singleLevel"/>
    <w:lvl w:ilvl="0">
      <w:numFmt w:val="bullet"/>
      <w:lvlText w:val="o"/>
      <w:pPr>
        <w:ind w:left="420" w:hanging="360"/>
      </w:pPr>
    </w:lvl>
  </w:abstractNum>
  <w:abstractNum w:abstractNumId="53">
    <w:multiLevelType w:val="singleLevel"/>
    <w:lvl w:ilvl="0">
      <w:start w:val="1"/>
      <w:numFmt w:val="upperLetter"/>
      <w:lvlText w:val="%1."/>
      <w:pPr>
        <w:ind w:left="420" w:hanging="360"/>
      </w:pPr>
    </w:lvl>
  </w:abstractNum>
  <w:abstractNum w:abstractNumId="54">
    <w:multiLevelType w:val="singleLevel"/>
    <w:lvl w:ilvl="0">
      <w:start w:val="1"/>
      <w:numFmt w:val="lowerLetter"/>
      <w:lvlText w:val="%1."/>
      <w:pPr>
        <w:ind w:left="420" w:hanging="360"/>
      </w:pPr>
    </w:lvl>
  </w:abstractNum>
  <w:abstractNum w:abstractNumId="55">
    <w:multiLevelType w:val="singleLevel"/>
    <w:lvl w:ilvl="0">
      <w:start w:val="1"/>
      <w:numFmt w:val="upperRoman"/>
      <w:lvlText w:val="%1."/>
      <w:pPr>
        <w:ind w:left="420" w:hanging="360"/>
      </w:pPr>
    </w:lvl>
  </w:abstractNum>
  <w:abstractNum w:abstractNumId="56">
    <w:multiLevelType w:val="singleLevel"/>
    <w:lvl w:ilvl="0">
      <w:start w:val="1"/>
      <w:numFmt w:val="lowerRoman"/>
      <w:lvlText w:val="%1."/>
      <w:pPr>
        <w:ind w:left="420" w:hanging="360"/>
      </w:pPr>
    </w:lvl>
  </w:abstractNum>
  <w:abstractNum w:abstractNumId="57">
    <w:multiLevelType w:val="singleLevel"/>
    <w:lvl w:ilvl="0">
      <w:start w:val="1"/>
      <w:numFmt w:val="decimal"/>
      <w:lvlText w:val="%1."/>
      <w:pPr>
        <w:ind w:left="420" w:hanging="360"/>
      </w:pPr>
    </w:lvl>
  </w:abstractNum>
  <w:abstractNum w:abstractNumId="58">
    <w:multiLevelType w:val="singleLevel"/>
    <w:lvl w:ilvl="0">
      <w:numFmt w:val="bullet"/>
      <w:lvlText w:val="•"/>
      <w:pPr>
        <w:ind w:left="420" w:hanging="360"/>
      </w:pPr>
    </w:lvl>
  </w:abstractNum>
  <w:abstractNum w:abstractNumId="59">
    <w:multiLevelType w:val="singleLevel"/>
    <w:lvl w:ilvl="0">
      <w:numFmt w:val="bullet"/>
      <w:lvlText w:val="▪"/>
      <w:pPr>
        <w:ind w:left="420" w:hanging="360"/>
      </w:pPr>
    </w:lvl>
  </w:abstractNum>
  <w:abstractNum w:abstractNumId="60">
    <w:multiLevelType w:val="singleLevel"/>
    <w:lvl w:ilvl="0">
      <w:numFmt w:val="bullet"/>
      <w:lvlText w:val="o"/>
      <w:pPr>
        <w:ind w:left="420" w:hanging="360"/>
      </w:pPr>
    </w:lvl>
  </w:abstractNum>
  <w:abstractNum w:abstractNumId="61">
    <w:multiLevelType w:val="singleLevel"/>
    <w:lvl w:ilvl="0">
      <w:start w:val="1"/>
      <w:numFmt w:val="upperLetter"/>
      <w:lvlText w:val="%1."/>
      <w:pPr>
        <w:ind w:left="420" w:hanging="360"/>
      </w:pPr>
    </w:lvl>
  </w:abstractNum>
  <w:abstractNum w:abstractNumId="62">
    <w:multiLevelType w:val="singleLevel"/>
    <w:lvl w:ilvl="0">
      <w:start w:val="1"/>
      <w:numFmt w:val="lowerLetter"/>
      <w:lvlText w:val="%1."/>
      <w:pPr>
        <w:ind w:left="420" w:hanging="360"/>
      </w:pPr>
    </w:lvl>
  </w:abstractNum>
  <w:abstractNum w:abstractNumId="63">
    <w:multiLevelType w:val="singleLevel"/>
    <w:lvl w:ilvl="0">
      <w:start w:val="1"/>
      <w:numFmt w:val="upperRoman"/>
      <w:lvlText w:val="%1."/>
      <w:pPr>
        <w:ind w:left="420" w:hanging="360"/>
      </w:pPr>
    </w:lvl>
  </w:abstractNum>
  <w:abstractNum w:abstractNumId="64">
    <w:multiLevelType w:val="singleLevel"/>
    <w:lvl w:ilvl="0">
      <w:start w:val="1"/>
      <w:numFmt w:val="lowerRoman"/>
      <w:lvlText w:val="%1."/>
      <w:pPr>
        <w:ind w:left="420" w:hanging="360"/>
      </w:pPr>
    </w:lvl>
  </w:abstractNum>
  <w:abstractNum w:abstractNumId="65">
    <w:multiLevelType w:val="singleLevel"/>
    <w:lvl w:ilvl="0">
      <w:start w:val="1"/>
      <w:numFmt w:val="decimal"/>
      <w:lvlText w:val="%1."/>
      <w:pPr>
        <w:ind w:left="420" w:hanging="360"/>
      </w:pPr>
    </w:lvl>
  </w:abstractNum>
  <w:abstractNum w:abstractNumId="66">
    <w:multiLevelType w:val="singleLevel"/>
    <w:lvl w:ilvl="0">
      <w:numFmt w:val="bullet"/>
      <w:lvlText w:val="•"/>
      <w:pPr>
        <w:ind w:left="420" w:hanging="360"/>
      </w:pPr>
    </w:lvl>
  </w:abstractNum>
  <w:abstractNum w:abstractNumId="67">
    <w:multiLevelType w:val="singleLevel"/>
    <w:lvl w:ilvl="0">
      <w:numFmt w:val="bullet"/>
      <w:lvlText w:val="▪"/>
      <w:pPr>
        <w:ind w:left="420" w:hanging="360"/>
      </w:pPr>
    </w:lvl>
  </w:abstractNum>
  <w:abstractNum w:abstractNumId="68">
    <w:multiLevelType w:val="singleLevel"/>
    <w:lvl w:ilvl="0">
      <w:numFmt w:val="bullet"/>
      <w:lvlText w:val="o"/>
      <w:pPr>
        <w:ind w:left="420" w:hanging="360"/>
      </w:pPr>
    </w:lvl>
  </w:abstractNum>
  <w:abstractNum w:abstractNumId="69">
    <w:multiLevelType w:val="singleLevel"/>
    <w:lvl w:ilvl="0">
      <w:start w:val="1"/>
      <w:numFmt w:val="upperLetter"/>
      <w:lvlText w:val="%1."/>
      <w:pPr>
        <w:ind w:left="420" w:hanging="360"/>
      </w:pPr>
    </w:lvl>
  </w:abstractNum>
  <w:abstractNum w:abstractNumId="70">
    <w:multiLevelType w:val="singleLevel"/>
    <w:lvl w:ilvl="0">
      <w:start w:val="1"/>
      <w:numFmt w:val="lowerLetter"/>
      <w:lvlText w:val="%1."/>
      <w:pPr>
        <w:ind w:left="420" w:hanging="360"/>
      </w:pPr>
    </w:lvl>
  </w:abstractNum>
  <w:abstractNum w:abstractNumId="71">
    <w:multiLevelType w:val="singleLevel"/>
    <w:lvl w:ilvl="0">
      <w:start w:val="1"/>
      <w:numFmt w:val="upperRoman"/>
      <w:lvlText w:val="%1."/>
      <w:pPr>
        <w:ind w:left="420" w:hanging="360"/>
      </w:pPr>
    </w:lvl>
  </w:abstractNum>
  <w:abstractNum w:abstractNumId="72">
    <w:multiLevelType w:val="singleLevel"/>
    <w:lvl w:ilvl="0">
      <w:start w:val="1"/>
      <w:numFmt w:val="lowerRoman"/>
      <w:lvlText w:val="%1."/>
      <w:pPr>
        <w:ind w:left="420" w:hanging="360"/>
      </w:pPr>
    </w:lvl>
  </w:abstractNum>
  <w:abstractNum w:abstractNumId="73">
    <w:multiLevelType w:val="singleLevel"/>
    <w:lvl w:ilvl="0">
      <w:start w:val="1"/>
      <w:numFmt w:val="decimal"/>
      <w:lvlText w:val="%1."/>
      <w:pPr>
        <w:ind w:left="420" w:hanging="360"/>
      </w:pPr>
    </w:lvl>
  </w:abstractNum>
  <w:abstractNum w:abstractNumId="74">
    <w:multiLevelType w:val="singleLevel"/>
    <w:lvl w:ilvl="0">
      <w:numFmt w:val="bullet"/>
      <w:lvlText w:val="•"/>
      <w:pPr>
        <w:ind w:left="420" w:hanging="360"/>
      </w:pPr>
    </w:lvl>
  </w:abstractNum>
  <w:abstractNum w:abstractNumId="75">
    <w:multiLevelType w:val="singleLevel"/>
    <w:lvl w:ilvl="0">
      <w:numFmt w:val="bullet"/>
      <w:lvlText w:val="▪"/>
      <w:pPr>
        <w:ind w:left="420" w:hanging="360"/>
      </w:pPr>
    </w:lvl>
  </w:abstractNum>
  <w:abstractNum w:abstractNumId="76">
    <w:multiLevelType w:val="singleLevel"/>
    <w:lvl w:ilvl="0">
      <w:numFmt w:val="bullet"/>
      <w:lvlText w:val="o"/>
      <w:pPr>
        <w:ind w:left="420" w:hanging="360"/>
      </w:pPr>
    </w:lvl>
  </w:abstractNum>
  <w:abstractNum w:abstractNumId="77">
    <w:multiLevelType w:val="singleLevel"/>
    <w:lvl w:ilvl="0">
      <w:start w:val="1"/>
      <w:numFmt w:val="upperLetter"/>
      <w:lvlText w:val="%1."/>
      <w:pPr>
        <w:ind w:left="420" w:hanging="360"/>
      </w:pPr>
    </w:lvl>
  </w:abstractNum>
  <w:abstractNum w:abstractNumId="78">
    <w:multiLevelType w:val="singleLevel"/>
    <w:lvl w:ilvl="0">
      <w:start w:val="1"/>
      <w:numFmt w:val="lowerLetter"/>
      <w:lvlText w:val="%1."/>
      <w:pPr>
        <w:ind w:left="420" w:hanging="360"/>
      </w:pPr>
    </w:lvl>
  </w:abstractNum>
  <w:abstractNum w:abstractNumId="79">
    <w:multiLevelType w:val="singleLevel"/>
    <w:lvl w:ilvl="0">
      <w:start w:val="1"/>
      <w:numFmt w:val="upperRoman"/>
      <w:lvlText w:val="%1."/>
      <w:pPr>
        <w:ind w:left="420" w:hanging="360"/>
      </w:pPr>
    </w:lvl>
  </w:abstractNum>
  <w:abstractNum w:abstractNumId="80">
    <w:multiLevelType w:val="singleLevel"/>
    <w:lvl w:ilvl="0">
      <w:start w:val="1"/>
      <w:numFmt w:val="lowerRoman"/>
      <w:lvlText w:val="%1."/>
      <w:pPr>
        <w:ind w:left="420" w:hanging="360"/>
      </w:pPr>
    </w:lvl>
  </w:abstractNum>
  <w:abstractNum w:abstractNumId="81">
    <w:multiLevelType w:val="singleLevel"/>
    <w:lvl w:ilvl="0">
      <w:start w:val="1"/>
      <w:numFmt w:val="decimal"/>
      <w:lvlText w:val="%1."/>
      <w:pPr>
        <w:ind w:left="420" w:hanging="360"/>
      </w:pPr>
    </w:lvl>
  </w:abstractNum>
  <w:abstractNum w:abstractNumId="82">
    <w:multiLevelType w:val="singleLevel"/>
    <w:lvl w:ilvl="0">
      <w:numFmt w:val="bullet"/>
      <w:lvlText w:val="•"/>
      <w:pPr>
        <w:ind w:left="420" w:hanging="360"/>
      </w:pPr>
    </w:lvl>
  </w:abstractNum>
  <w:abstractNum w:abstractNumId="83">
    <w:multiLevelType w:val="singleLevel"/>
    <w:lvl w:ilvl="0">
      <w:numFmt w:val="bullet"/>
      <w:lvlText w:val="▪"/>
      <w:pPr>
        <w:ind w:left="420" w:hanging="360"/>
      </w:pPr>
    </w:lvl>
  </w:abstractNum>
  <w:abstractNum w:abstractNumId="84">
    <w:multiLevelType w:val="singleLevel"/>
    <w:lvl w:ilvl="0">
      <w:numFmt w:val="bullet"/>
      <w:lvlText w:val="o"/>
      <w:pPr>
        <w:ind w:left="420" w:hanging="360"/>
      </w:pPr>
    </w:lvl>
  </w:abstractNum>
  <w:abstractNum w:abstractNumId="85">
    <w:multiLevelType w:val="singleLevel"/>
    <w:lvl w:ilvl="0">
      <w:start w:val="1"/>
      <w:numFmt w:val="upperLetter"/>
      <w:lvlText w:val="%1."/>
      <w:pPr>
        <w:ind w:left="420" w:hanging="360"/>
      </w:pPr>
    </w:lvl>
  </w:abstractNum>
  <w:abstractNum w:abstractNumId="86">
    <w:multiLevelType w:val="singleLevel"/>
    <w:lvl w:ilvl="0">
      <w:start w:val="1"/>
      <w:numFmt w:val="lowerLetter"/>
      <w:lvlText w:val="%1."/>
      <w:pPr>
        <w:ind w:left="420" w:hanging="360"/>
      </w:pPr>
    </w:lvl>
  </w:abstractNum>
  <w:abstractNum w:abstractNumId="87">
    <w:multiLevelType w:val="singleLevel"/>
    <w:lvl w:ilvl="0">
      <w:start w:val="1"/>
      <w:numFmt w:val="upperRoman"/>
      <w:lvlText w:val="%1."/>
      <w:pPr>
        <w:ind w:left="420" w:hanging="360"/>
      </w:pPr>
    </w:lvl>
  </w:abstractNum>
  <w:abstractNum w:abstractNumId="88">
    <w:multiLevelType w:val="singleLevel"/>
    <w:lvl w:ilvl="0">
      <w:start w:val="1"/>
      <w:numFmt w:val="lowerRoman"/>
      <w:lvlText w:val="%1."/>
      <w:pPr>
        <w:ind w:left="420" w:hanging="360"/>
      </w:pPr>
    </w:lvl>
  </w:abstractNum>
  <w:abstractNum w:abstractNumId="89">
    <w:multiLevelType w:val="singleLevel"/>
    <w:lvl w:ilvl="0">
      <w:start w:val="1"/>
      <w:numFmt w:val="decimal"/>
      <w:lvlText w:val="%1."/>
      <w:pPr>
        <w:ind w:left="420" w:hanging="360"/>
      </w:pPr>
    </w:lvl>
  </w:abstractNum>
  <w:abstractNum w:abstractNumId="90">
    <w:multiLevelType w:val="singleLevel"/>
    <w:lvl w:ilvl="0">
      <w:numFmt w:val="bullet"/>
      <w:lvlText w:val="•"/>
      <w:pPr>
        <w:ind w:left="420" w:hanging="360"/>
      </w:pPr>
    </w:lvl>
  </w:abstractNum>
  <w:abstractNum w:abstractNumId="91">
    <w:multiLevelType w:val="singleLevel"/>
    <w:lvl w:ilvl="0">
      <w:numFmt w:val="bullet"/>
      <w:lvlText w:val="▪"/>
      <w:pPr>
        <w:ind w:left="420" w:hanging="360"/>
      </w:pPr>
    </w:lvl>
  </w:abstractNum>
  <w:abstractNum w:abstractNumId="92">
    <w:multiLevelType w:val="singleLevel"/>
    <w:lvl w:ilvl="0">
      <w:numFmt w:val="bullet"/>
      <w:lvlText w:val="o"/>
      <w:pPr>
        <w:ind w:left="420" w:hanging="360"/>
      </w:pPr>
    </w:lvl>
  </w:abstractNum>
  <w:abstractNum w:abstractNumId="93">
    <w:multiLevelType w:val="singleLevel"/>
    <w:lvl w:ilvl="0">
      <w:start w:val="1"/>
      <w:numFmt w:val="upperLetter"/>
      <w:lvlText w:val="%1."/>
      <w:pPr>
        <w:ind w:left="420" w:hanging="360"/>
      </w:pPr>
    </w:lvl>
  </w:abstractNum>
  <w:abstractNum w:abstractNumId="94">
    <w:multiLevelType w:val="singleLevel"/>
    <w:lvl w:ilvl="0">
      <w:start w:val="1"/>
      <w:numFmt w:val="lowerLetter"/>
      <w:lvlText w:val="%1."/>
      <w:pPr>
        <w:ind w:left="420" w:hanging="360"/>
      </w:pPr>
    </w:lvl>
  </w:abstractNum>
  <w:abstractNum w:abstractNumId="95">
    <w:multiLevelType w:val="singleLevel"/>
    <w:lvl w:ilvl="0">
      <w:start w:val="1"/>
      <w:numFmt w:val="upperRoman"/>
      <w:lvlText w:val="%1."/>
      <w:pPr>
        <w:ind w:left="420" w:hanging="360"/>
      </w:pPr>
    </w:lvl>
  </w:abstractNum>
  <w:abstractNum w:abstractNumId="96">
    <w:multiLevelType w:val="singleLevel"/>
    <w:lvl w:ilvl="0">
      <w:start w:val="1"/>
      <w:numFmt w:val="lowerRoman"/>
      <w:lvlText w:val="%1."/>
      <w:pPr>
        <w:ind w:left="420" w:hanging="360"/>
      </w:pPr>
    </w:lvl>
  </w:abstractNum>
  <w:abstractNum w:abstractNumId="97">
    <w:multiLevelType w:val="singleLevel"/>
    <w:lvl w:ilvl="0">
      <w:start w:val="1"/>
      <w:numFmt w:val="decimal"/>
      <w:lvlText w:val="%1."/>
      <w:pPr>
        <w:ind w:left="420" w:hanging="360"/>
      </w:pPr>
    </w:lvl>
  </w:abstractNum>
  <w:abstractNum w:abstractNumId="98">
    <w:multiLevelType w:val="singleLevel"/>
    <w:lvl w:ilvl="0">
      <w:numFmt w:val="bullet"/>
      <w:lvlText w:val="•"/>
      <w:pPr>
        <w:ind w:left="420" w:hanging="360"/>
      </w:pPr>
    </w:lvl>
  </w:abstractNum>
  <w:abstractNum w:abstractNumId="99">
    <w:multiLevelType w:val="singleLevel"/>
    <w:lvl w:ilvl="0">
      <w:numFmt w:val="bullet"/>
      <w:lvlText w:val="▪"/>
      <w:pPr>
        <w:ind w:left="420" w:hanging="360"/>
      </w:pPr>
    </w:lvl>
  </w:abstractNum>
  <w:abstractNum w:abstractNumId="100">
    <w:multiLevelType w:val="singleLevel"/>
    <w:lvl w:ilvl="0">
      <w:numFmt w:val="bullet"/>
      <w:lvlText w:val="o"/>
      <w:pPr>
        <w:ind w:left="420" w:hanging="360"/>
      </w:pPr>
    </w:lvl>
  </w:abstractNum>
  <w:abstractNum w:abstractNumId="101">
    <w:multiLevelType w:val="singleLevel"/>
    <w:lvl w:ilvl="0">
      <w:start w:val="1"/>
      <w:numFmt w:val="upperLetter"/>
      <w:lvlText w:val="%1."/>
      <w:pPr>
        <w:ind w:left="420" w:hanging="360"/>
      </w:pPr>
    </w:lvl>
  </w:abstractNum>
  <w:abstractNum w:abstractNumId="102">
    <w:multiLevelType w:val="singleLevel"/>
    <w:lvl w:ilvl="0">
      <w:start w:val="1"/>
      <w:numFmt w:val="lowerLetter"/>
      <w:lvlText w:val="%1."/>
      <w:pPr>
        <w:ind w:left="420" w:hanging="360"/>
      </w:pPr>
    </w:lvl>
  </w:abstractNum>
  <w:abstractNum w:abstractNumId="103">
    <w:multiLevelType w:val="singleLevel"/>
    <w:lvl w:ilvl="0">
      <w:start w:val="1"/>
      <w:numFmt w:val="upperRoman"/>
      <w:lvlText w:val="%1."/>
      <w:pPr>
        <w:ind w:left="420" w:hanging="360"/>
      </w:pPr>
    </w:lvl>
  </w:abstractNum>
  <w:abstractNum w:abstractNumId="104">
    <w:multiLevelType w:val="singleLevel"/>
    <w:lvl w:ilvl="0">
      <w:start w:val="1"/>
      <w:numFmt w:val="lowerRoman"/>
      <w:lvlText w:val="%1."/>
      <w:pPr>
        <w:ind w:left="420" w:hanging="360"/>
      </w:pPr>
    </w:lvl>
  </w:abstractNum>
  <w:abstractNum w:abstractNumId="105">
    <w:multiLevelType w:val="singleLevel"/>
    <w:lvl w:ilvl="0">
      <w:start w:val="1"/>
      <w:numFmt w:val="decimal"/>
      <w:lvlText w:val="%1."/>
      <w:pPr>
        <w:ind w:left="420" w:hanging="360"/>
      </w:pPr>
    </w:lvl>
  </w:abstractNum>
  <w:abstractNum w:abstractNumId="106">
    <w:multiLevelType w:val="singleLevel"/>
    <w:lvl w:ilvl="0">
      <w:numFmt w:val="bullet"/>
      <w:lvlText w:val="•"/>
      <w:pPr>
        <w:ind w:left="420" w:hanging="360"/>
      </w:pPr>
    </w:lvl>
  </w:abstractNum>
  <w:abstractNum w:abstractNumId="107">
    <w:multiLevelType w:val="singleLevel"/>
    <w:lvl w:ilvl="0">
      <w:numFmt w:val="bullet"/>
      <w:lvlText w:val="▪"/>
      <w:pPr>
        <w:ind w:left="420" w:hanging="360"/>
      </w:pPr>
    </w:lvl>
  </w:abstractNum>
  <w:abstractNum w:abstractNumId="108">
    <w:multiLevelType w:val="singleLevel"/>
    <w:lvl w:ilvl="0">
      <w:numFmt w:val="bullet"/>
      <w:lvlText w:val="o"/>
      <w:pPr>
        <w:ind w:left="420" w:hanging="360"/>
      </w:pPr>
    </w:lvl>
  </w:abstractNum>
  <w:abstractNum w:abstractNumId="109">
    <w:multiLevelType w:val="singleLevel"/>
    <w:lvl w:ilvl="0">
      <w:start w:val="1"/>
      <w:numFmt w:val="upperLetter"/>
      <w:lvlText w:val="%1."/>
      <w:pPr>
        <w:ind w:left="420" w:hanging="360"/>
      </w:pPr>
    </w:lvl>
  </w:abstractNum>
  <w:abstractNum w:abstractNumId="110">
    <w:multiLevelType w:val="singleLevel"/>
    <w:lvl w:ilvl="0">
      <w:start w:val="1"/>
      <w:numFmt w:val="lowerLetter"/>
      <w:lvlText w:val="%1."/>
      <w:pPr>
        <w:ind w:left="420" w:hanging="360"/>
      </w:pPr>
    </w:lvl>
  </w:abstractNum>
  <w:abstractNum w:abstractNumId="111">
    <w:multiLevelType w:val="singleLevel"/>
    <w:lvl w:ilvl="0">
      <w:start w:val="1"/>
      <w:numFmt w:val="upperRoman"/>
      <w:lvlText w:val="%1."/>
      <w:pPr>
        <w:ind w:left="420" w:hanging="360"/>
      </w:pPr>
    </w:lvl>
  </w:abstractNum>
  <w:abstractNum w:abstractNumId="112">
    <w:multiLevelType w:val="singleLevel"/>
    <w:lvl w:ilvl="0">
      <w:start w:val="1"/>
      <w:numFmt w:val="lowerRoman"/>
      <w:lvlText w:val="%1."/>
      <w:pPr>
        <w:ind w:left="420" w:hanging="360"/>
      </w:pPr>
    </w:lvl>
  </w:abstractNum>
  <w:abstractNum w:abstractNumId="113">
    <w:multiLevelType w:val="singleLevel"/>
    <w:lvl w:ilvl="0">
      <w:start w:val="1"/>
      <w:numFmt w:val="decimal"/>
      <w:lvlText w:val="%1."/>
      <w:pPr>
        <w:ind w:left="420" w:hanging="360"/>
      </w:pPr>
    </w:lvl>
  </w:abstractNum>
  <w:abstractNum w:abstractNumId="114">
    <w:multiLevelType w:val="singleLevel"/>
    <w:lvl w:ilvl="0">
      <w:numFmt w:val="bullet"/>
      <w:lvlText w:val="•"/>
      <w:pPr>
        <w:ind w:left="420" w:hanging="360"/>
      </w:pPr>
    </w:lvl>
  </w:abstractNum>
  <w:abstractNum w:abstractNumId="115">
    <w:multiLevelType w:val="singleLevel"/>
    <w:lvl w:ilvl="0">
      <w:numFmt w:val="bullet"/>
      <w:lvlText w:val="▪"/>
      <w:pPr>
        <w:ind w:left="420" w:hanging="360"/>
      </w:pPr>
    </w:lvl>
  </w:abstractNum>
  <w:abstractNum w:abstractNumId="116">
    <w:multiLevelType w:val="singleLevel"/>
    <w:lvl w:ilvl="0">
      <w:numFmt w:val="bullet"/>
      <w:lvlText w:val="o"/>
      <w:pPr>
        <w:ind w:left="420" w:hanging="360"/>
      </w:pPr>
    </w:lvl>
  </w:abstractNum>
  <w:abstractNum w:abstractNumId="117">
    <w:multiLevelType w:val="singleLevel"/>
    <w:lvl w:ilvl="0">
      <w:start w:val="1"/>
      <w:numFmt w:val="upperLetter"/>
      <w:lvlText w:val="%1."/>
      <w:pPr>
        <w:ind w:left="420" w:hanging="360"/>
      </w:pPr>
    </w:lvl>
  </w:abstractNum>
  <w:abstractNum w:abstractNumId="118">
    <w:multiLevelType w:val="singleLevel"/>
    <w:lvl w:ilvl="0">
      <w:start w:val="1"/>
      <w:numFmt w:val="lowerLetter"/>
      <w:lvlText w:val="%1."/>
      <w:pPr>
        <w:ind w:left="420" w:hanging="360"/>
      </w:pPr>
    </w:lvl>
  </w:abstractNum>
  <w:abstractNum w:abstractNumId="119">
    <w:multiLevelType w:val="singleLevel"/>
    <w:lvl w:ilvl="0">
      <w:start w:val="1"/>
      <w:numFmt w:val="upperRoman"/>
      <w:lvlText w:val="%1."/>
      <w:pPr>
        <w:ind w:left="420" w:hanging="360"/>
      </w:pPr>
    </w:lvl>
  </w:abstractNum>
  <w:abstractNum w:abstractNumId="120">
    <w:multiLevelType w:val="singleLevel"/>
    <w:lvl w:ilvl="0">
      <w:start w:val="1"/>
      <w:numFmt w:val="lowerRoman"/>
      <w:lvlText w:val="%1."/>
      <w:pPr>
        <w:ind w:left="420" w:hanging="360"/>
      </w:pPr>
    </w:lvl>
  </w:abstractNum>
  <w:abstractNum w:abstractNumId="121">
    <w:multiLevelType w:val="singleLevel"/>
    <w:lvl w:ilvl="0">
      <w:start w:val="1"/>
      <w:numFmt w:val="decimal"/>
      <w:lvlText w:val="%1."/>
      <w:pPr>
        <w:ind w:left="420" w:hanging="360"/>
      </w:pPr>
    </w:lvl>
  </w:abstractNum>
  <w:abstractNum w:abstractNumId="122">
    <w:multiLevelType w:val="singleLevel"/>
    <w:lvl w:ilvl="0">
      <w:numFmt w:val="bullet"/>
      <w:lvlText w:val="•"/>
      <w:pPr>
        <w:ind w:left="420" w:hanging="360"/>
      </w:pPr>
    </w:lvl>
  </w:abstractNum>
  <w:abstractNum w:abstractNumId="123">
    <w:multiLevelType w:val="singleLevel"/>
    <w:lvl w:ilvl="0">
      <w:numFmt w:val="bullet"/>
      <w:lvlText w:val="▪"/>
      <w:pPr>
        <w:ind w:left="420" w:hanging="360"/>
      </w:pPr>
    </w:lvl>
  </w:abstractNum>
  <w:abstractNum w:abstractNumId="124">
    <w:multiLevelType w:val="singleLevel"/>
    <w:lvl w:ilvl="0">
      <w:numFmt w:val="bullet"/>
      <w:lvlText w:val="o"/>
      <w:pPr>
        <w:ind w:left="420" w:hanging="360"/>
      </w:pPr>
    </w:lvl>
  </w:abstractNum>
  <w:abstractNum w:abstractNumId="125">
    <w:multiLevelType w:val="singleLevel"/>
    <w:lvl w:ilvl="0">
      <w:start w:val="1"/>
      <w:numFmt w:val="upperLetter"/>
      <w:lvlText w:val="%1."/>
      <w:pPr>
        <w:ind w:left="420" w:hanging="360"/>
      </w:pPr>
    </w:lvl>
  </w:abstractNum>
  <w:abstractNum w:abstractNumId="126">
    <w:multiLevelType w:val="singleLevel"/>
    <w:lvl w:ilvl="0">
      <w:start w:val="1"/>
      <w:numFmt w:val="lowerLetter"/>
      <w:lvlText w:val="%1."/>
      <w:pPr>
        <w:ind w:left="420" w:hanging="360"/>
      </w:pPr>
    </w:lvl>
  </w:abstractNum>
  <w:abstractNum w:abstractNumId="127">
    <w:multiLevelType w:val="singleLevel"/>
    <w:lvl w:ilvl="0">
      <w:start w:val="1"/>
      <w:numFmt w:val="upperRoman"/>
      <w:lvlText w:val="%1."/>
      <w:pPr>
        <w:ind w:left="420" w:hanging="360"/>
      </w:pPr>
    </w:lvl>
  </w:abstractNum>
  <w:abstractNum w:abstractNumId="128">
    <w:multiLevelType w:val="singleLevel"/>
    <w:lvl w:ilvl="0">
      <w:start w:val="1"/>
      <w:numFmt w:val="lowerRoman"/>
      <w:lvlText w:val="%1."/>
      <w:pPr>
        <w:ind w:left="420" w:hanging="360"/>
      </w:pPr>
    </w:lvl>
  </w:abstractNum>
  <w:abstractNum w:abstractNumId="8"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6"/>
  </w:num>
  <w:num w:numId="2">
    <w:abstractNumId w:val="7"/>
  </w:num>
  <w:num w:numId="3">
    <w:abstractNumId w:val="0"/>
  </w:num>
  <w:num w:numId="4">
    <w:abstractNumId w:val="1"/>
  </w:num>
  <w:num w:numId="5">
    <w:abstractNumId w:val="8"/>
  </w:num>
  <w:num w:numId="6">
    <w:abstractNumId w:val="5"/>
  </w:num>
  <w:num w:numId="7">
    <w:abstractNumId w:val="4"/>
  </w:num>
  <w:num w:numId="8">
    <w:abstractNumId w:val="3"/>
  </w:num>
  <w:num w:numId="9">
    <w:abstractNumId w:val="2"/>
  </w:num>
  <w:num w:numId="10">
    <w:abstractNumId w:val="11"/>
    <w:lvlOverride w:ilvl="0">
      <w:startOverride w:val="1"/>
    </w:lvlOverride>
  </w:num>
  <w:num w:numId="11">
    <w:abstractNumId w:val="11"/>
    <w:lvlOverride w:ilvl="0">
      <w:startOverride w:val="1"/>
    </w:lvlOverride>
  </w:num>
  <w:num w:numId="12">
    <w:abstractNumId w:val="19"/>
    <w:lvlOverride w:ilvl="0">
      <w:startOverride w:val="1"/>
    </w:lvlOverride>
  </w:num>
  <w:num w:numId="13">
    <w:abstractNumId w:val="27"/>
    <w:lvlOverride w:ilvl="0">
      <w:startOverride w:val="1"/>
    </w:lvlOverride>
  </w:num>
  <w:num w:numId="14">
    <w:abstractNumId w:val="35"/>
    <w:lvlOverride w:ilvl="0">
      <w:startOverride w:val="1"/>
    </w:lvlOverride>
  </w:num>
  <w:num w:numId="15">
    <w:abstractNumId w:val="43"/>
    <w:lvlOverride w:ilvl="0">
      <w:startOverride w:val="1"/>
    </w:lvlOverride>
  </w:num>
  <w:num w:numId="16">
    <w:abstractNumId w:val="51"/>
    <w:lvlOverride w:ilvl="0">
      <w:startOverride w:val="1"/>
    </w:lvlOverride>
  </w:num>
  <w:num w:numId="17">
    <w:abstractNumId w:val="59"/>
    <w:lvlOverride w:ilvl="0">
      <w:startOverride w:val="1"/>
    </w:lvlOverride>
  </w:num>
  <w:num w:numId="18">
    <w:abstractNumId w:val="67"/>
    <w:lvlOverride w:ilvl="0">
      <w:startOverride w:val="1"/>
    </w:lvlOverride>
  </w:num>
  <w:num w:numId="19">
    <w:abstractNumId w:val="75"/>
    <w:lvlOverride w:ilvl="0">
      <w:startOverride w:val="1"/>
    </w:lvlOverride>
  </w:num>
  <w:num w:numId="20">
    <w:abstractNumId w:val="75"/>
    <w:lvlOverride w:ilvl="0">
      <w:startOverride w:val="1"/>
    </w:lvlOverride>
  </w:num>
  <w:num w:numId="21">
    <w:abstractNumId w:val="75"/>
    <w:lvlOverride w:ilvl="0">
      <w:startOverride w:val="1"/>
    </w:lvlOverride>
  </w:num>
  <w:num w:numId="22">
    <w:abstractNumId w:val="75"/>
    <w:lvlOverride w:ilvl="0">
      <w:startOverride w:val="1"/>
    </w:lvlOverride>
  </w:num>
  <w:num w:numId="23">
    <w:abstractNumId w:val="82"/>
    <w:lvlOverride w:ilvl="0">
      <w:startOverride w:val="1"/>
    </w:lvlOverride>
  </w:num>
  <w:num w:numId="24">
    <w:abstractNumId w:val="94"/>
    <w:lvlOverride w:ilvl="0">
      <w:startOverride w:val="1"/>
    </w:lvlOverride>
  </w:num>
  <w:num w:numId="25">
    <w:abstractNumId w:val="94"/>
    <w:lvlOverride w:ilvl="0">
      <w:startOverride w:val="1"/>
    </w:lvlOverride>
  </w:num>
  <w:num w:numId="26">
    <w:abstractNumId w:val="99"/>
    <w:lvlOverride w:ilvl="0">
      <w:startOverride w:val="1"/>
    </w:lvlOverride>
  </w:num>
  <w:num w:numId="27">
    <w:abstractNumId w:val="107"/>
    <w:lvlOverride w:ilvl="0">
      <w:startOverride w:val="1"/>
    </w:lvlOverride>
  </w:num>
  <w:num w:numId="28">
    <w:abstractNumId w:val="115"/>
    <w:lvlOverride w:ilvl="0">
      <w:startOverride w:val="1"/>
    </w:lvlOverride>
  </w:num>
  <w:num w:numId="29">
    <w:abstractNumId w:val="12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46E"/>
    <w:rsid w:val="00026410"/>
    <w:rsid w:val="00035AF7"/>
    <w:rsid w:val="000366AE"/>
    <w:rsid w:val="00040699"/>
    <w:rsid w:val="00051AB4"/>
    <w:rsid w:val="00060DE4"/>
    <w:rsid w:val="000634B9"/>
    <w:rsid w:val="00066A43"/>
    <w:rsid w:val="00077F75"/>
    <w:rsid w:val="00093245"/>
    <w:rsid w:val="00093E1F"/>
    <w:rsid w:val="000A44E4"/>
    <w:rsid w:val="000E4E6C"/>
    <w:rsid w:val="000F4305"/>
    <w:rsid w:val="00163A87"/>
    <w:rsid w:val="001650B6"/>
    <w:rsid w:val="001802A0"/>
    <w:rsid w:val="0018699D"/>
    <w:rsid w:val="00197B2F"/>
    <w:rsid w:val="001C4022"/>
    <w:rsid w:val="001F1260"/>
    <w:rsid w:val="00206013"/>
    <w:rsid w:val="00215F7F"/>
    <w:rsid w:val="00237F85"/>
    <w:rsid w:val="002537D8"/>
    <w:rsid w:val="00277A03"/>
    <w:rsid w:val="002A08A4"/>
    <w:rsid w:val="002A465B"/>
    <w:rsid w:val="002B053B"/>
    <w:rsid w:val="002B72CF"/>
    <w:rsid w:val="002D177D"/>
    <w:rsid w:val="00301CB0"/>
    <w:rsid w:val="003338F8"/>
    <w:rsid w:val="003749B6"/>
    <w:rsid w:val="003A3B65"/>
    <w:rsid w:val="003F41D1"/>
    <w:rsid w:val="00421ABE"/>
    <w:rsid w:val="0043695D"/>
    <w:rsid w:val="00451567"/>
    <w:rsid w:val="0045175A"/>
    <w:rsid w:val="00471952"/>
    <w:rsid w:val="00485DE4"/>
    <w:rsid w:val="00490F49"/>
    <w:rsid w:val="004A2283"/>
    <w:rsid w:val="004C40D5"/>
    <w:rsid w:val="004E2B13"/>
    <w:rsid w:val="0050340E"/>
    <w:rsid w:val="00507F6E"/>
    <w:rsid w:val="00520E44"/>
    <w:rsid w:val="0053563D"/>
    <w:rsid w:val="00552AE4"/>
    <w:rsid w:val="005633FE"/>
    <w:rsid w:val="0056371E"/>
    <w:rsid w:val="00573CD0"/>
    <w:rsid w:val="005909AC"/>
    <w:rsid w:val="005938F3"/>
    <w:rsid w:val="005A12EF"/>
    <w:rsid w:val="005A1BF7"/>
    <w:rsid w:val="005F0C6B"/>
    <w:rsid w:val="005F6943"/>
    <w:rsid w:val="00652219"/>
    <w:rsid w:val="00662603"/>
    <w:rsid w:val="0066374E"/>
    <w:rsid w:val="00682D60"/>
    <w:rsid w:val="006851B1"/>
    <w:rsid w:val="006906AD"/>
    <w:rsid w:val="006B1683"/>
    <w:rsid w:val="006C0569"/>
    <w:rsid w:val="006C4214"/>
    <w:rsid w:val="006E4DBD"/>
    <w:rsid w:val="006F092A"/>
    <w:rsid w:val="006F4E12"/>
    <w:rsid w:val="00704DE8"/>
    <w:rsid w:val="00713F48"/>
    <w:rsid w:val="007336B4"/>
    <w:rsid w:val="00747611"/>
    <w:rsid w:val="007538CC"/>
    <w:rsid w:val="007541FC"/>
    <w:rsid w:val="00761F2A"/>
    <w:rsid w:val="00762FB2"/>
    <w:rsid w:val="007A0E60"/>
    <w:rsid w:val="007B5830"/>
    <w:rsid w:val="007B7254"/>
    <w:rsid w:val="007C069D"/>
    <w:rsid w:val="007F060E"/>
    <w:rsid w:val="008020A8"/>
    <w:rsid w:val="008204F5"/>
    <w:rsid w:val="008407E2"/>
    <w:rsid w:val="00853375"/>
    <w:rsid w:val="00865D16"/>
    <w:rsid w:val="00876B23"/>
    <w:rsid w:val="00896739"/>
    <w:rsid w:val="008B4BE2"/>
    <w:rsid w:val="008D09E7"/>
    <w:rsid w:val="008D564B"/>
    <w:rsid w:val="008D6B08"/>
    <w:rsid w:val="008E0D40"/>
    <w:rsid w:val="009459F9"/>
    <w:rsid w:val="0097273C"/>
    <w:rsid w:val="009860DA"/>
    <w:rsid w:val="00994FC4"/>
    <w:rsid w:val="009B5183"/>
    <w:rsid w:val="009D1541"/>
    <w:rsid w:val="009E2793"/>
    <w:rsid w:val="00A14B44"/>
    <w:rsid w:val="00A17914"/>
    <w:rsid w:val="00A33804"/>
    <w:rsid w:val="00A35C01"/>
    <w:rsid w:val="00A556C6"/>
    <w:rsid w:val="00A768A2"/>
    <w:rsid w:val="00A803CC"/>
    <w:rsid w:val="00A90B9D"/>
    <w:rsid w:val="00A966E5"/>
    <w:rsid w:val="00AB3E5E"/>
    <w:rsid w:val="00AC1559"/>
    <w:rsid w:val="00AC1F72"/>
    <w:rsid w:val="00B347E0"/>
    <w:rsid w:val="00B466E0"/>
    <w:rsid w:val="00B64E41"/>
    <w:rsid w:val="00B749D6"/>
    <w:rsid w:val="00BC16F0"/>
    <w:rsid w:val="00BC7873"/>
    <w:rsid w:val="00BD03CF"/>
    <w:rsid w:val="00BF49C6"/>
    <w:rsid w:val="00C01BE6"/>
    <w:rsid w:val="00C02BBE"/>
    <w:rsid w:val="00C303AC"/>
    <w:rsid w:val="00CA68FF"/>
    <w:rsid w:val="00CB0368"/>
    <w:rsid w:val="00CF063C"/>
    <w:rsid w:val="00D02513"/>
    <w:rsid w:val="00D36E00"/>
    <w:rsid w:val="00D41754"/>
    <w:rsid w:val="00D928B3"/>
    <w:rsid w:val="00D9752D"/>
    <w:rsid w:val="00DD06B3"/>
    <w:rsid w:val="00DD65E5"/>
    <w:rsid w:val="00DE2995"/>
    <w:rsid w:val="00E15808"/>
    <w:rsid w:val="00E31B0A"/>
    <w:rsid w:val="00E53A00"/>
    <w:rsid w:val="00E57C25"/>
    <w:rsid w:val="00E8516D"/>
    <w:rsid w:val="00E867F5"/>
    <w:rsid w:val="00E925A7"/>
    <w:rsid w:val="00EA11E4"/>
    <w:rsid w:val="00EB4E6C"/>
    <w:rsid w:val="00EB6941"/>
    <w:rsid w:val="00EC1193"/>
    <w:rsid w:val="00EE1050"/>
    <w:rsid w:val="00EF7766"/>
    <w:rsid w:val="00F02972"/>
    <w:rsid w:val="00F37251"/>
    <w:rsid w:val="00F6454F"/>
    <w:rsid w:val="00FC6796"/>
    <w:rsid w:val="00FF6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DD65E5"/>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E53A00"/>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E53A00"/>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E53A00"/>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DD65E5"/>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DD65E5"/>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552AE4"/>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40699"/>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E53A00"/>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DD65E5"/>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E53A00"/>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E53A00"/>
    <w:pPr>
      <w:spacing w:line="360" w:lineRule="auto"/>
    </w:pPr>
  </w:style>
  <w:style w:type="character" w:styleId="BodyTextChar" w:customStyle="1">
    <w:name w:val="Body Text Char"/>
    <w:basedOn w:val="DefaultParagraphFont"/>
    <w:link w:val="BodyText"/>
    <w:uiPriority w:val="99"/>
    <w:rsid w:val="00DD65E5"/>
    <w:rPr>
      <w:rFonts w:ascii="Arial" w:hAnsi="Arial"/>
      <w:sz w:val="20"/>
    </w:rPr>
  </w:style>
  <w:style w:type="character" w:styleId="Heading2Char" w:customStyle="1">
    <w:name w:val="Heading 2 Char"/>
    <w:basedOn w:val="DefaultParagraphFont"/>
    <w:link w:val="Heading2"/>
    <w:uiPriority w:val="9"/>
    <w:rsid w:val="00DD65E5"/>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DD65E5"/>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E53A00"/>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DD65E5"/>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E53A00"/>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DD65E5"/>
    <w:rPr>
      <w:rFonts w:ascii="Arial Bold" w:hAnsi="Arial Bold" w:eastAsiaTheme="majorEastAsia" w:cstheme="majorBidi"/>
      <w:b/>
      <w:kern w:val="28"/>
      <w:sz w:val="44"/>
      <w:szCs w:val="56"/>
    </w:rPr>
  </w:style>
  <w:style w:type="paragraph" w:styleId="Disclaimer" w:customStyle="1">
    <w:name w:val="Disclaimer"/>
    <w:basedOn w:val="BodyText"/>
    <w:qFormat/>
    <w:rsid w:val="00040699"/>
    <w:rPr>
      <w:sz w:val="16"/>
    </w:rPr>
  </w:style>
  <w:style w:type="paragraph" w:styleId="TOC2">
    <w:name w:val="toc 2"/>
    <w:basedOn w:val="Normal"/>
    <w:next w:val="Normal"/>
    <w:autoRedefine/>
    <w:uiPriority w:val="39"/>
    <w:unhideWhenUsed/>
    <w:rsid w:val="00AC1F72"/>
    <w:pPr>
      <w:spacing w:after="100"/>
      <w:ind w:left="200"/>
    </w:pPr>
    <w:rPr>
      <w:sz w:val="16"/>
    </w:rPr>
  </w:style>
  <w:style w:type="paragraph" w:styleId="TOC3">
    <w:name w:val="toc 3"/>
    <w:basedOn w:val="Normal"/>
    <w:next w:val="Normal"/>
    <w:autoRedefine/>
    <w:uiPriority w:val="39"/>
    <w:unhideWhenUsed/>
    <w:rsid w:val="00AC1F72"/>
    <w:pPr>
      <w:spacing w:after="100"/>
      <w:ind w:left="400"/>
    </w:pPr>
    <w:rPr>
      <w:sz w:val="16"/>
    </w:rPr>
  </w:style>
  <w:style w:type="paragraph" w:styleId="TOC4">
    <w:name w:val="toc 4"/>
    <w:basedOn w:val="Normal"/>
    <w:next w:val="Normal"/>
    <w:autoRedefine/>
    <w:uiPriority w:val="39"/>
    <w:semiHidden/>
    <w:unhideWhenUsed/>
    <w:rsid w:val="00AC1F72"/>
    <w:pPr>
      <w:spacing w:after="100"/>
      <w:ind w:left="600"/>
    </w:pPr>
    <w:rPr>
      <w:sz w:val="16"/>
    </w:rPr>
  </w:style>
  <w:style w:type="paragraph" w:styleId="TOC5">
    <w:name w:val="toc 5"/>
    <w:basedOn w:val="Normal"/>
    <w:next w:val="Normal"/>
    <w:autoRedefine/>
    <w:uiPriority w:val="39"/>
    <w:semiHidden/>
    <w:unhideWhenUsed/>
    <w:rsid w:val="00AC1F72"/>
    <w:pPr>
      <w:spacing w:after="100"/>
      <w:ind w:left="800"/>
    </w:pPr>
    <w:rPr>
      <w:sz w:val="16"/>
    </w:rPr>
  </w:style>
  <w:style w:type="paragraph" w:styleId="TOC6">
    <w:name w:val="toc 6"/>
    <w:basedOn w:val="Normal"/>
    <w:next w:val="Normal"/>
    <w:autoRedefine/>
    <w:uiPriority w:val="39"/>
    <w:semiHidden/>
    <w:unhideWhenUsed/>
    <w:rsid w:val="00AC1F72"/>
    <w:pPr>
      <w:spacing w:after="100"/>
      <w:ind w:left="1000"/>
    </w:pPr>
    <w:rPr>
      <w:sz w:val="16"/>
    </w:rPr>
  </w:style>
  <w:style w:type="numbering" w:styleId="1aiA" w:customStyle="1">
    <w:name w:val="1. / (a) / (i) / (A)"/>
    <w:uiPriority w:val="99"/>
    <w:rsid w:val="0000446E"/>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92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image" Target="/media/image.jpg" Id="R3f95601fb31d4160" /><Relationship Type="http://schemas.openxmlformats.org/officeDocument/2006/relationships/image" Target="/media/image2.jpg" Id="R41087c202a6045cc" /><Relationship Type="http://schemas.openxmlformats.org/officeDocument/2006/relationships/image" Target="/media/image3.jpg" Id="R544f48648e8f4d03" /><Relationship Type="http://schemas.openxmlformats.org/officeDocument/2006/relationships/hyperlink" Target="https://resourcehub.bakermckenzie.com/en/-/media/fighting-domestic-violence/reports/reports/2021_fdv_uganda.pdf?rev=409344f6a7bc494b96ff62d069f579c3&amp;sc_lang=en" TargetMode="External" Id="R0d383702a58b4614" /><Relationship Type="http://schemas.openxmlformats.org/officeDocument/2006/relationships/image" Target="/media/image4.jpg" Id="R7de3df3429f6423a" /><Relationship Type="http://schemas.openxmlformats.org/officeDocument/2006/relationships/hyperlink" Target="https://www.refworld.org/docid/49b92b20c.html" TargetMode="External" Id="R573259bcb1b94985" /><Relationship Type="http://schemas.openxmlformats.org/officeDocument/2006/relationships/hyperlink" Target="https://www2.ohchr.org/english/bodies/cedaw/docs/AdvanceVersions/CEDAW-C-UGA-7.pdf" TargetMode="External" Id="R6b50a53f4166409b" /><Relationship Type="http://schemas.openxmlformats.org/officeDocument/2006/relationships/hyperlink" Target="https://www.ipu.org/news/news-in-brief/2017-06/implementing-cedaw-in-uganda" TargetMode="External" Id="R6aa3f9d6a0d24514" /><Relationship Type="http://schemas.openxmlformats.org/officeDocument/2006/relationships/hyperlink" Target="https://www.reproductiverights.org/sites/default/files/documents/concluding_observations_5th_state_report_uganda.pdf" TargetMode="External" Id="Ra1bb506f7d6749ed" /><Relationship Type="http://schemas.openxmlformats.org/officeDocument/2006/relationships/hyperlink" Target="https://www.akinamamawaafrika.org/maputo-protocol-a-youth-opportunity-for-advancing-srhr/" TargetMode="External" Id="R7c7f571677184cbd" /><Relationship Type="http://schemas.openxmlformats.org/officeDocument/2006/relationships/hyperlink" Target="https://www.justice.gov.za/docs/InfoSheets/2014-protection_order.pdf" TargetMode="External" Id="Ref840f4ed15d4a95" /><Relationship Type="http://schemas.openxmlformats.org/officeDocument/2006/relationships/hyperlink" Target="file:///U:/Active/2020%20Pro-Bono%20GRW/Reports/010.%20Final/Uganda/2021_FDV_Uganda.DOCX#_edn5" TargetMode="External" Id="Re7a4bb56deed4d65"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F534C2" w:rsidRDefault="00221808">
          <w:r w:rsidRPr="0077679D">
            <w:rPr>
              <w:rStyle w:val="PlaceholderText"/>
            </w:rPr>
            <w:t>Click or tap here to enter text.</w:t>
          </w:r>
        </w:p>
      </w:docPartBody>
    </w:docPart>
    <w:docPart>
      <w:docPartPr>
        <w:name w:val="A0AF05CB778C40DAA132D9B1AC8EB97E"/>
        <w:category>
          <w:name w:val="General"/>
          <w:gallery w:val="placeholder"/>
        </w:category>
        <w:types>
          <w:type w:val="bbPlcHdr"/>
        </w:types>
        <w:behaviors>
          <w:behavior w:val="content"/>
        </w:behaviors>
        <w:guid w:val="{66F167DE-438C-4B3F-AD73-40CDEEEF1E0F}"/>
      </w:docPartPr>
      <w:docPartBody>
        <w:p w:rsidR="005E6147" w:rsidRDefault="008C39EF" w:rsidP="008C39EF">
          <w:pPr>
            <w:pStyle w:val="A0AF05CB778C40DAA132D9B1AC8EB97E"/>
          </w:pPr>
          <w:r w:rsidRPr="0077679D">
            <w:rPr>
              <w:rStyle w:val="PlaceholderText"/>
            </w:rPr>
            <w:t>Click or tap here to enter text.</w:t>
          </w:r>
        </w:p>
      </w:docPartBody>
    </w:docPart>
    <w:docPart>
      <w:docPartPr>
        <w:name w:val="3816F6170ABC43BCBDB278015F7ED7B2"/>
        <w:category>
          <w:name w:val="General"/>
          <w:gallery w:val="placeholder"/>
        </w:category>
        <w:types>
          <w:type w:val="bbPlcHdr"/>
        </w:types>
        <w:behaviors>
          <w:behavior w:val="content"/>
        </w:behaviors>
        <w:guid w:val="{4809D032-F599-425F-B2DD-5DF71B222145}"/>
      </w:docPartPr>
      <w:docPartBody>
        <w:p w:rsidR="005E6147" w:rsidRDefault="008C39EF" w:rsidP="008C39EF">
          <w:pPr>
            <w:pStyle w:val="3816F6170ABC43BCBDB278015F7ED7B2"/>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D4BEECC0959C48F1AA1D9A0CCEB1EE0D"/>
        <w:category>
          <w:name w:val="General"/>
          <w:gallery w:val="placeholder"/>
        </w:category>
        <w:types>
          <w:type w:val="bbPlcHdr"/>
        </w:types>
        <w:behaviors>
          <w:behavior w:val="content"/>
        </w:behaviors>
        <w:guid w:val="{6187ABCF-F968-45DE-BC87-9BF4ACD202EC}"/>
      </w:docPartPr>
      <w:docPartBody>
        <w:p w:rsidR="005E6147" w:rsidRDefault="008C39EF" w:rsidP="008C39EF">
          <w:pPr>
            <w:pStyle w:val="D4BEECC0959C48F1AA1D9A0CCEB1EE0D"/>
          </w:pPr>
          <w:r w:rsidRPr="0077679D">
            <w:rPr>
              <w:rStyle w:val="PlaceholderText"/>
            </w:rPr>
            <w:t>Click or tap here to enter text.</w:t>
          </w:r>
        </w:p>
      </w:docPartBody>
    </w:docPart>
    <w:docPart>
      <w:docPartPr>
        <w:name w:val="7A3271F1CA7B4758B07266E2255DBF5C"/>
        <w:category>
          <w:name w:val="General"/>
          <w:gallery w:val="placeholder"/>
        </w:category>
        <w:types>
          <w:type w:val="bbPlcHdr"/>
        </w:types>
        <w:behaviors>
          <w:behavior w:val="content"/>
        </w:behaviors>
        <w:guid w:val="{48FD75EC-026E-46C8-A825-A2E99CC5DE7C}"/>
      </w:docPartPr>
      <w:docPartBody>
        <w:p w:rsidR="005E6147" w:rsidRDefault="008C39EF" w:rsidP="008C39EF">
          <w:pPr>
            <w:pStyle w:val="7A3271F1CA7B4758B07266E2255DBF5C"/>
          </w:pPr>
          <w:r w:rsidRPr="0077679D">
            <w:rPr>
              <w:rStyle w:val="PlaceholderText"/>
            </w:rPr>
            <w:t>Click or tap here to enter text.</w:t>
          </w:r>
        </w:p>
      </w:docPartBody>
    </w:docPart>
    <w:docPart>
      <w:docPartPr>
        <w:name w:val="21EB74C42DC04B5E95018E132FDE3B56"/>
        <w:category>
          <w:name w:val="General"/>
          <w:gallery w:val="placeholder"/>
        </w:category>
        <w:types>
          <w:type w:val="bbPlcHdr"/>
        </w:types>
        <w:behaviors>
          <w:behavior w:val="content"/>
        </w:behaviors>
        <w:guid w:val="{8631C0F4-0533-4F81-BE94-6ABDE84232CD}"/>
      </w:docPartPr>
      <w:docPartBody>
        <w:p w:rsidR="005E6147" w:rsidRDefault="008C39EF" w:rsidP="008C39EF">
          <w:pPr>
            <w:pStyle w:val="21EB74C42DC04B5E95018E132FDE3B56"/>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6DD963B540C343C08613D2C5F772A932"/>
        <w:category>
          <w:name w:val="General"/>
          <w:gallery w:val="placeholder"/>
        </w:category>
        <w:types>
          <w:type w:val="bbPlcHdr"/>
        </w:types>
        <w:behaviors>
          <w:behavior w:val="content"/>
        </w:behaviors>
        <w:guid w:val="{1D68D44D-DB56-46E8-8E6F-AC3134C9ADAC}"/>
      </w:docPartPr>
      <w:docPartBody>
        <w:p w:rsidR="005E6147" w:rsidRDefault="008C39EF" w:rsidP="008C39EF">
          <w:pPr>
            <w:pStyle w:val="6DD963B540C343C08613D2C5F772A932"/>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82C5090A-F1DB-4637-95F2-9607D8ECEBB1}"/>
      </w:docPartPr>
      <w:docPartBody>
        <w:p w:rsidR="008E2F4A" w:rsidRDefault="003B4B66">
          <w:r w:rsidRPr="00051056">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62ADE"/>
    <w:rsid w:val="00065653"/>
    <w:rsid w:val="000C59AA"/>
    <w:rsid w:val="00145D6B"/>
    <w:rsid w:val="00151DBE"/>
    <w:rsid w:val="00177734"/>
    <w:rsid w:val="00181E6F"/>
    <w:rsid w:val="001B4209"/>
    <w:rsid w:val="001B645C"/>
    <w:rsid w:val="00221808"/>
    <w:rsid w:val="002A1718"/>
    <w:rsid w:val="00354BBB"/>
    <w:rsid w:val="003B4B66"/>
    <w:rsid w:val="00571892"/>
    <w:rsid w:val="005E6147"/>
    <w:rsid w:val="007C533E"/>
    <w:rsid w:val="00870C2F"/>
    <w:rsid w:val="008C1645"/>
    <w:rsid w:val="008C39EF"/>
    <w:rsid w:val="008E2F4A"/>
    <w:rsid w:val="008F2DC5"/>
    <w:rsid w:val="00990F10"/>
    <w:rsid w:val="00B74E77"/>
    <w:rsid w:val="00D14D23"/>
    <w:rsid w:val="00DB1076"/>
    <w:rsid w:val="00E16C5A"/>
    <w:rsid w:val="00E45A92"/>
    <w:rsid w:val="00E9125D"/>
    <w:rsid w:val="00ED015A"/>
    <w:rsid w:val="00F078AC"/>
    <w:rsid w:val="00F53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4B66"/>
    <w:rPr>
      <w:color w:val="808080"/>
    </w:rPr>
  </w:style>
  <w:style w:type="paragraph" w:customStyle="1" w:styleId="A0AF05CB778C40DAA132D9B1AC8EB97E">
    <w:name w:val="A0AF05CB778C40DAA132D9B1AC8EB97E"/>
    <w:rsid w:val="008C39EF"/>
  </w:style>
  <w:style w:type="paragraph" w:customStyle="1" w:styleId="3816F6170ABC43BCBDB278015F7ED7B2">
    <w:name w:val="3816F6170ABC43BCBDB278015F7ED7B2"/>
    <w:rsid w:val="008C39EF"/>
  </w:style>
  <w:style w:type="paragraph" w:customStyle="1" w:styleId="D4BEECC0959C48F1AA1D9A0CCEB1EE0D">
    <w:name w:val="D4BEECC0959C48F1AA1D9A0CCEB1EE0D"/>
    <w:rsid w:val="008C39EF"/>
  </w:style>
  <w:style w:type="paragraph" w:customStyle="1" w:styleId="7A3271F1CA7B4758B07266E2255DBF5C">
    <w:name w:val="7A3271F1CA7B4758B07266E2255DBF5C"/>
    <w:rsid w:val="008C39EF"/>
  </w:style>
  <w:style w:type="paragraph" w:customStyle="1" w:styleId="21EB74C42DC04B5E95018E132FDE3B56">
    <w:name w:val="21EB74C42DC04B5E95018E132FDE3B56"/>
    <w:rsid w:val="008C39EF"/>
  </w:style>
  <w:style w:type="paragraph" w:customStyle="1" w:styleId="6DD963B540C343C08613D2C5F772A932">
    <w:name w:val="6DD963B540C343C08613D2C5F772A932"/>
    <w:rsid w:val="008C39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5531</TotalTime>
  <Pages>3</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69</cp:revision>
  <dcterms:created xsi:type="dcterms:W3CDTF">2020-06-09T19:54:00Z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