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VAT/GST Rates &amp; Thresholds - Angola</w:t>
      </w:r>
      <w:r w:rsidR="00480329"/>
    </w:p>
    <w:p w:rsidRPr="00BC7873" w:rsidR="00BC7873" w:rsidP="00D354EF" w:rsidRDefault="00051AB4" w14:paraId="2476CC56" w14:textId="2FB25FA9">
      <w:pPr>
        <w:pStyle w:val="Title"/>
      </w:pPr>
      <w:r w:rsidRPr="00BC7873">
        <w:t>VAT / GST</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Rates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Reduced VAT / GST rate</w:t>
              </w:r>
            </w:p>
            <w:p>
              <w:pPr>
                <w:pStyle w:val="BodyText"/>
              </w:pPr>
              <w:r>
                <w:t xml:space="preserve">5</w:t>
              </w:r>
              <w:hyperlink w:history="true" r:id="R29acfd0a59764486">
                <w:r>
                  <w:rPr>
                    <w:rStyle w:val="Hyperlink"/>
                    <w:vertAlign w:val="superscript"/>
                  </w:rPr>
                  <w:t xml:space="preserve">[1]</w:t>
                </w:r>
              </w:hyperlink>
              <w:r>
                <w:t xml:space="preserve"> / 7</w:t>
              </w:r>
              <w:hyperlink w:history="true" r:id="Rb757c0a8b34a4df9">
                <w:r>
                  <w:rPr>
                    <w:rStyle w:val="Hyperlink"/>
                    <w:vertAlign w:val="superscript"/>
                  </w:rPr>
                  <w:t xml:space="preserve">[2]</w:t>
                </w:r>
              </w:hyperlink>
            </w:p>
            <w:p>
              <w:pPr>
                <w:pStyle w:val="BodyText"/>
              </w:pPr>
              <w:r>
                <w:rPr>
                  <w:b/>
                </w:rPr>
                <w:t xml:space="preserve">Standard VAT / GST rate</w:t>
              </w:r>
            </w:p>
            <w:p>
              <w:pPr>
                <w:pStyle w:val="BodyText"/>
              </w:pPr>
              <w:r>
                <w:t xml:space="preserve">14</w:t>
              </w:r>
              <w:hyperlink w:history="true" r:id="Ref8bf3bcab1f4c01">
                <w:r>
                  <w:rPr>
                    <w:rStyle w:val="Hyperlink"/>
                    <w:vertAlign w:val="superscript"/>
                  </w:rPr>
                  <w:t xml:space="preserve">[3]</w:t>
                </w:r>
              </w:hyperlink>
            </w:p>
            <w:p>
              <w:pPr>
                <w:pStyle w:val="BodyText"/>
              </w:pPr>
              <w:r>
                <w:rPr>
                  <w:b/>
                </w:rPr>
                <w:t xml:space="preserve">High VAT / GST rate</w:t>
              </w:r>
            </w:p>
            <w:p>
              <w:pPr>
                <w:pStyle w:val="BodyText"/>
              </w:pPr>
              <w:r>
                <w:rPr>
                  <w:b/>
                </w:rPr>
                <w:t xml:space="preserve"> - </w:t>
              </w:r>
            </w:p>
            <w:p>
              <w:pPr>
                <w:pStyle w:val="BodyText"/>
              </w:pPr>
              <w:r>
                <w:t xml:space="preserve"> </w:t>
              </w:r>
            </w:p>
            <w:p>
              <w:pPr>
                <w:pStyle w:val="BodyText"/>
              </w:pPr>
              <w:r>
                <w:rPr>
                  <w:b/>
                </w:rPr>
                <w:t xml:space="preserve">______________________</w:t>
              </w:r>
            </w:p>
            <w:p>
              <w:pPr>
                <w:pStyle w:val="BodyText"/>
              </w:pPr>
              <w:r>
                <w:t xml:space="preserve">Note: The reduced VAT rate applicable to imports and supplies of goods in the Cabinda zone is of 1%. Excluded goods are those expressly denominated as such by the law and are subject to the standard VAT rate (e.g., alcoholic beverages, cigarettes, vehicles, etc.).</w:t>
              </w:r>
            </w:p>
            <w:p>
              <w:pPr>
                <w:pStyle w:val="BodyText"/>
              </w:pPr>
              <w:hyperlink w:history="true" r:id="R22ae336dd1614da7">
                <w:r>
                  <w:rPr>
                    <w:rStyle w:val="Hyperlink"/>
                  </w:rPr>
                  <w:t xml:space="preserve">[1]</w:t>
                </w:r>
              </w:hyperlink>
              <w:r>
                <w:t xml:space="preserve"> The reduced VAT rate of 5% applies to imports and supplies of certain food products and agricultural consumables that are highly consumed, such as meat, eggs, etc. A</w:t>
              </w:r>
              <w:r>
                <w:rPr>
                  <w:color w:val="000000"/>
                </w:rPr>
                <w:t xml:space="preserve">s well as of industrial equipment by the manufacturer</w:t>
              </w:r>
              <w:r>
                <w:rPr>
                  <w:color w:val="000000"/>
                </w:rPr>
                <w:t xml:space="preserve">.</w:t>
              </w:r>
            </w:p>
            <w:p>
              <w:pPr>
                <w:pStyle w:val="BodyText"/>
              </w:pPr>
              <w:hyperlink w:history="true" r:id="R385bd0db37b04d95">
                <w:r>
                  <w:rPr>
                    <w:rStyle w:val="Hyperlink"/>
                  </w:rPr>
                  <w:t xml:space="preserve">[2]</w:t>
                </w:r>
              </w:hyperlink>
              <w:r>
                <w:t xml:space="preserve">  A reduced rate of 7% applies to the import and supply of certain food products and agricultural consumables. The 7% rate also applies to hotel accommodation and restaurant services, provided that certain conditions are met: real estate property and motor vehicles are registered as being assigned to the taxable activity, invoices are issued through electronic invoicing systems and tax returns have been submitted for previous years. </w:t>
              </w:r>
            </w:p>
            <w:p>
              <w:pPr>
                <w:pStyle w:val="BodyText"/>
              </w:pPr>
              <w:hyperlink w:history="true" r:id="R1aa6b71384b249d6">
                <w:r>
                  <w:rPr>
                    <w:rStyle w:val="Hyperlink"/>
                  </w:rPr>
                  <w:t xml:space="preserve">[3]</w:t>
                </w:r>
              </w:hyperlink>
              <w:r>
                <w:t xml:space="preserve"> A simplified VAT regime is applicable to VAT taxable entities that in the last financial year had a turnover or importations higher than AKZ 25,000,00.00 and lower than AKZ 350,000,000.00.</w:t>
              </w:r>
              <w:r>
                <w:br/>
              </w:r>
              <w:r>
                <w:t xml:space="preserve">Taxpayers covered by this regime are subject to VAT at the rate of 7%, computed on the basis of their monthly turnover (receivables) regarding non-exempt transactions, including advance payments, with the right to deduct 7% of the total amount of VAT born on their inputs. These entities are also required to self-assess 7% VAT computed over the value of the service effectively paid when they acquire services to non-resident suppliers. A specific VAT rate of 2% is also applicable to the importation and supply of certain goods, as well as to the provision of port services and public water supply in the Cabinda Zone. Furthermore, a specific VAT rate of 1% applies on import and local supplies of food in the Cabinda Zone.</w:t>
              </w:r>
              <w:r>
                <w:br/>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https://resourcehub.bakermckenzie.com/en/resources/vatgst-rates--thresholds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ftn1" TargetMode="External" Id="R29acfd0a59764486" /><Relationship Type="http://schemas.openxmlformats.org/officeDocument/2006/relationships/hyperlink" Target="https://resourcehub.bakermckenzie.com/enEditorPage.aspx?da=core&amp;amp;id=%7B404242C1-4E94-49FA-A795-2B68A3C1B899%7D&amp;amp;ed=FIELD160273977&amp;amp;vs&amp;amp;la=en&amp;amp;fld=%7B61B355C7-4970-4B78-98CC-936E170256C2%7D&amp;amp;so&amp;amp;di=0&amp;amp;hdl=H160273986&amp;amp;mo&amp;amp;pe=0&amp;amp;fbd=1#ftn1" TargetMode="External" Id="Rb757c0a8b34a4df9" /><Relationship Type="http://schemas.openxmlformats.org/officeDocument/2006/relationships/hyperlink" Target="https://resourcehub.bakermckenzie.com/en#ftn1" TargetMode="External" Id="Ref8bf3bcab1f4c01" /><Relationship Type="http://schemas.openxmlformats.org/officeDocument/2006/relationships/hyperlink" Target="https://resourcehub.bakermckenzie.com/enEditorPage.aspx?da=core&amp;amp;id=%7B404242C1-4E94-49FA-A795-2B68A3C1B899%7D&amp;amp;ed=FIELD144413491&amp;amp;vs&amp;amp;la=en&amp;amp;fld=%7B61B355C7-4970-4B78-98CC-936E170256C2%7D&amp;amp;so&amp;amp;di=0&amp;amp;hdl=H144413497&amp;amp;mo&amp;amp;pe=0&amp;amp;fbd=1#ftnref1" TargetMode="External" Id="R22ae336dd1614da7" /><Relationship Type="http://schemas.openxmlformats.org/officeDocument/2006/relationships/hyperlink" Target="https://resourcehub.bakermckenzie.com/enEditorPage.aspx?da=core&amp;amp;id=%7B404242C1-4E94-49FA-A795-2B68A3C1B899%7D&amp;amp;ed=FIELD160273977&amp;amp;vs&amp;amp;la=en&amp;amp;fld=%7B61B355C7-4970-4B78-98CC-936E170256C2%7D&amp;amp;so&amp;amp;di=0&amp;amp;hdl=H160273986&amp;amp;mo&amp;amp;pe=0&amp;amp;fbd=1#ftnref1" TargetMode="External" Id="R385bd0db37b04d95" /><Relationship Type="http://schemas.openxmlformats.org/officeDocument/2006/relationships/hyperlink" Target="https://resourcehub.bakermckenzie.com/enEditorPage.aspx?da=core&amp;amp;id=%7B404242C1-4E94-49FA-A795-2B68A3C1B899%7D&amp;amp;ed=FIELD144413491&amp;amp;vs&amp;amp;la=en&amp;amp;fld=%7B61B355C7-4970-4B78-98CC-936E170256C2%7D&amp;amp;so&amp;amp;di=0&amp;amp;hdl=H144413497&amp;amp;mo&amp;amp;pe=0&amp;amp;fbd=1#ftnref1" TargetMode="External" Id="R1aa6b71384b249d6"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