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Greece</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General Secretariat for Gender Equality — Ministry of the Interior (2006) "National Action Plan on Gender Equality." Available at: </w:t>
              </w:r>
              <w:hyperlink w:history="true" r:id="R149d3032aa344f33">
                <w:r>
                  <w:rPr>
                    <w:rStyle w:val="Hyperlink"/>
                    <w:color w:val="000000"/>
                  </w:rPr>
                  <w:t xml:space="preserve">https://eurogender.eige.europa.eu/posts/greece-national-action-plan-gender-equality-2016-2020#resources</w:t>
                </w:r>
              </w:hyperlink>
            </w:p>
            <w:p>
              <w:pPr>
                <w:pStyle w:val="BodyText"/>
              </w:pPr>
              <w:r>
                <w:rPr>
                  <w:color w:val="000000"/>
                  <w:vertAlign w:val="superscript"/>
                </w:rPr>
                <w:t xml:space="preserve">[2]</w:t>
              </w:r>
              <w:r>
                <w:t xml:space="preserve">    Law 4531/2018 (amending 3500/2006).</w:t>
              </w:r>
            </w:p>
            <w:p>
              <w:pPr>
                <w:pStyle w:val="BodyText"/>
              </w:pPr>
              <w:r>
                <w:rPr>
                  <w:color w:val="000000"/>
                  <w:vertAlign w:val="superscript"/>
                </w:rPr>
                <w:t xml:space="preserve">[3]</w:t>
              </w:r>
              <w:r>
                <w:t xml:space="preserve">    University of Modena and Reggio Emilia Modena Group on Stalking (2007) "Protecting Women From the New Crime of Stalking." Available at: </w:t>
              </w:r>
              <w:hyperlink w:history="true" r:id="R6d931accbb554b11">
                <w:r>
                  <w:rPr>
                    <w:rStyle w:val="Hyperlink"/>
                  </w:rPr>
                  <w:t xml:space="preserve">http://www.europeanrights.eu/public/commenti/stalking_testo.pdf</w:t>
                </w:r>
              </w:hyperlink>
            </w:p>
            <w:p>
              <w:pPr>
                <w:pStyle w:val="BodyText"/>
              </w:pPr>
              <w:r>
                <w:rPr>
                  <w:color w:val="000000"/>
                  <w:vertAlign w:val="superscript"/>
                </w:rPr>
                <w:t xml:space="preserve">[4]</w:t>
              </w:r>
              <w:r>
                <w:t xml:space="preserve">    </w:t>
              </w:r>
              <w:r>
                <w:rPr>
                  <w:i/>
                </w:rPr>
                <w:t xml:space="preserve">Ibid</w:t>
              </w:r>
              <w:r>
                <w:t xml:space="preserve">.</w:t>
              </w:r>
            </w:p>
            <w:p>
              <w:pPr>
                <w:pStyle w:val="BodyText"/>
              </w:pPr>
              <w:r>
                <w:rPr>
                  <w:color w:val="000000"/>
                  <w:vertAlign w:val="superscript"/>
                </w:rPr>
                <w:t xml:space="preserve">[5]</w:t>
              </w:r>
              <w:r>
                <w:t xml:space="preserve">    Law 3500/2006.</w:t>
              </w:r>
            </w:p>
            <w:p>
              <w:pPr>
                <w:pStyle w:val="BodyText"/>
              </w:pPr>
              <w:r>
                <w:rPr>
                  <w:color w:val="000000"/>
                  <w:vertAlign w:val="superscript"/>
                </w:rPr>
                <w:t xml:space="preserve">[6]</w:t>
              </w:r>
              <w:r>
                <w:t xml:space="preserve">    Law 3500/2006.</w:t>
              </w:r>
            </w:p>
            <w:p>
              <w:pPr>
                <w:pStyle w:val="BodyText"/>
              </w:pPr>
              <w:r>
                <w:rPr>
                  <w:color w:val="000000"/>
                  <w:vertAlign w:val="superscript"/>
                </w:rPr>
                <w:t xml:space="preserve">[7]</w:t>
              </w:r>
              <w:r>
                <w:t xml:space="preserve">    Law 4531/2018 (amending Law 3500/2006).</w:t>
              </w:r>
            </w:p>
            <w:p>
              <w:pPr>
                <w:pStyle w:val="BodyText"/>
              </w:pPr>
              <w:r>
                <w:rPr>
                  <w:color w:val="000000"/>
                  <w:vertAlign w:val="superscript"/>
                </w:rPr>
                <w:t xml:space="preserve">[8]</w:t>
              </w:r>
              <w:r>
                <w:t xml:space="preserve">    Law 4531/2018 (amending Law 3500/2006).</w:t>
              </w:r>
            </w:p>
            <w:p>
              <w:pPr>
                <w:pStyle w:val="BodyText"/>
              </w:pPr>
              <w:r>
                <w:rPr>
                  <w:color w:val="000000"/>
                  <w:vertAlign w:val="superscript"/>
                </w:rPr>
                <w:t xml:space="preserve">[9]</w:t>
              </w:r>
              <w:r>
                <w:t xml:space="preserve">    Law 4531/2018 (amending Law 3500/2006).</w:t>
              </w:r>
            </w:p>
            <w:p>
              <w:pPr>
                <w:pStyle w:val="BodyText"/>
              </w:pPr>
              <w:r>
                <w:rPr>
                  <w:color w:val="000000"/>
                  <w:vertAlign w:val="superscript"/>
                </w:rPr>
                <w:t xml:space="preserve">[10]</w:t>
              </w:r>
              <w:r>
                <w:t xml:space="preserve">    Law 4531/2018 (amending Law 3500/2006).</w:t>
              </w:r>
            </w:p>
            <w:p>
              <w:pPr>
                <w:pStyle w:val="BodyText"/>
              </w:pPr>
              <w:r>
                <w:rPr>
                  <w:color w:val="000000"/>
                  <w:vertAlign w:val="superscript"/>
                </w:rPr>
                <w:t xml:space="preserve">[11]</w:t>
              </w:r>
              <w:r>
                <w:t xml:space="preserve">    Law 4604/2019.</w:t>
              </w:r>
            </w:p>
            <w:p>
              <w:pPr>
                <w:pStyle w:val="BodyText"/>
              </w:pPr>
              <w:r>
                <w:rPr>
                  <w:color w:val="000000"/>
                  <w:vertAlign w:val="superscript"/>
                </w:rPr>
                <w:t xml:space="preserve">[12]</w:t>
              </w:r>
              <w:r>
                <w:t xml:space="preserve">    Law 4604/2019.</w:t>
              </w:r>
            </w:p>
            <w:p>
              <w:pPr>
                <w:pStyle w:val="BodyText"/>
              </w:pPr>
              <w:r>
                <w:rPr>
                  <w:color w:val="000000"/>
                  <w:vertAlign w:val="superscript"/>
                </w:rPr>
                <w:t xml:space="preserve">[13]</w:t>
              </w:r>
              <w:r>
                <w:t xml:space="preserve">    Law 4604/2019.</w:t>
              </w:r>
            </w:p>
            <w:p>
              <w:pPr>
                <w:pStyle w:val="BodyText"/>
              </w:pPr>
              <w:r>
                <w:rPr>
                  <w:color w:val="000000"/>
                  <w:vertAlign w:val="superscript"/>
                </w:rPr>
                <w:t xml:space="preserve">[14]</w:t>
              </w:r>
              <w:r>
                <w:t xml:space="preserve">    Law 4604/2019.</w:t>
              </w:r>
            </w:p>
            <w:p>
              <w:pPr>
                <w:pStyle w:val="BodyText"/>
              </w:pPr>
              <w:r>
                <w:rPr>
                  <w:color w:val="000000"/>
                  <w:vertAlign w:val="superscript"/>
                </w:rPr>
                <w:t xml:space="preserve">[15]</w:t>
              </w:r>
              <w:r>
                <w:t xml:space="preserve">    Law 4604/2019.</w:t>
              </w:r>
            </w:p>
            <w:p>
              <w:pPr>
                <w:pStyle w:val="BodyText"/>
              </w:pPr>
              <w:r>
                <w:rPr>
                  <w:color w:val="000000"/>
                  <w:vertAlign w:val="superscript"/>
                </w:rPr>
                <w:t xml:space="preserve">[16]</w:t>
              </w:r>
              <w:r>
                <w:t xml:space="preserve">    Law 4604/2019.</w:t>
              </w:r>
            </w:p>
            <w:p>
              <w:pPr>
                <w:pStyle w:val="BodyText"/>
              </w:pPr>
              <w:r>
                <w:rPr>
                  <w:color w:val="000000"/>
                  <w:vertAlign w:val="superscript"/>
                </w:rPr>
                <w:t xml:space="preserve">[17]</w:t>
              </w:r>
              <w:r>
                <w:t xml:space="preserve">    Law 4604/2019.</w:t>
              </w:r>
            </w:p>
            <w:p>
              <w:pPr>
                <w:pStyle w:val="BodyText"/>
              </w:pPr>
              <w:r>
                <w:rPr>
                  <w:color w:val="000000"/>
                  <w:vertAlign w:val="superscript"/>
                </w:rPr>
                <w:t xml:space="preserve">[18]</w:t>
              </w:r>
              <w:r>
                <w:t xml:space="preserve">    EIGE (2016) "Combating violence against women: Greece." Available at: </w:t>
              </w:r>
              <w:hyperlink w:history="true" r:id="Rb6c0f88c6dee4b28">
                <w:r>
                  <w:rPr>
                    <w:rStyle w:val="Hyperlink"/>
                  </w:rPr>
                  <w:t xml:space="preserve">https://eige.europa.eu/sites/default/files/documents/2016.5475_mh0216770enn_pdfweb_20170215100603.pdf</w:t>
                </w:r>
              </w:hyperlink>
            </w:p>
            <w:p>
              <w:pPr>
                <w:pStyle w:val="BodyText"/>
              </w:pPr>
              <w:r>
                <w:rPr>
                  <w:color w:val="000000"/>
                  <w:vertAlign w:val="superscript"/>
                </w:rPr>
                <w:t xml:space="preserve">[19]</w:t>
              </w:r>
              <w:r>
                <w:t xml:space="preserve">    J. Smith (2018) "Greece Records 13,700 Cases of Domestic Violence." Available at: </w:t>
              </w:r>
              <w:hyperlink w:history="true" r:id="Re8fe68f98cc34739">
                <w:r>
                  <w:rPr>
                    <w:rStyle w:val="Hyperlink"/>
                  </w:rPr>
                  <w:t xml:space="preserve">https://greece.greekreporter.com/2018/01/28/greece-records-13700-cases-of-domestic-violence/</w:t>
                </w:r>
              </w:hyperlink>
            </w:p>
            <w:p>
              <w:pPr>
                <w:pStyle w:val="BodyText"/>
              </w:pPr>
              <w:r>
                <w:rPr>
                  <w:color w:val="000000"/>
                  <w:vertAlign w:val="superscript"/>
                </w:rPr>
                <w:t xml:space="preserve">[20]</w:t>
              </w:r>
              <w:r>
                <w:t xml:space="preserve">    Vasiliki Artinopoulou (2013) Mapping the Legislation and Assessing the Impact of Protection Orders in the European Member States (POEMS): National Report Greece. Available at: </w:t>
              </w:r>
              <w:hyperlink w:history="true" r:id="R6e62365ee1024331">
                <w:r>
                  <w:rPr>
                    <w:rStyle w:val="Hyperlink"/>
                  </w:rPr>
                  <w:t xml:space="preserve">http://poems-project.com/wp-content/uploads/2015/02/Greece-final.pdf</w:t>
                </w:r>
              </w:hyperlink>
            </w:p>
            <w:p>
              <w:pPr>
                <w:pStyle w:val="BodyText"/>
              </w:pPr>
              <w:r>
                <w:rPr>
                  <w:color w:val="000000"/>
                  <w:vertAlign w:val="superscript"/>
                </w:rPr>
                <w:t xml:space="preserve">[21]</w:t>
              </w:r>
              <w:r>
                <w:t xml:space="preserve">    Hellenic Police (2005) "The Treatment of Domestic Violence."</w:t>
              </w:r>
            </w:p>
            <w:p>
              <w:pPr>
                <w:pStyle w:val="BodyText"/>
              </w:pPr>
              <w:r>
                <w:rPr>
                  <w:color w:val="000000"/>
                  <w:vertAlign w:val="superscript"/>
                </w:rPr>
                <w:t xml:space="preserve">[22]</w:t>
              </w:r>
              <w:r>
                <w:t xml:space="preserve">    </w:t>
              </w:r>
              <w:r>
                <w:rPr>
                  <w:i/>
                </w:rPr>
                <w:t xml:space="preserve">Ibid</w:t>
              </w:r>
              <w:r>
                <w:t xml:space="preserve">.</w:t>
              </w:r>
            </w:p>
            <w:p>
              <w:pPr>
                <w:pStyle w:val="BodyText"/>
              </w:pPr>
              <w:r>
                <w:rPr>
                  <w:color w:val="000000"/>
                  <w:vertAlign w:val="superscript"/>
                </w:rPr>
                <w:t xml:space="preserve">[23]</w:t>
              </w:r>
              <w:r>
                <w:t xml:space="preserve">    LEAP Members (2015) "Criminal Justice and Defence Rights in Greece." Available at: </w:t>
              </w:r>
              <w:hyperlink w:history="true" r:id="R1244e526b0ec4695">
                <w:r>
                  <w:rPr>
                    <w:rStyle w:val="Hyperlink"/>
                  </w:rPr>
                  <w:t xml:space="preserve">https://www.fairtrials.org/publication/criminal-justice-and-defence-rights-greece</w:t>
                </w:r>
              </w:hyperlink>
            </w:p>
            <w:p>
              <w:pPr>
                <w:pStyle w:val="BodyText"/>
              </w:pPr>
              <w:r>
                <w:rPr>
                  <w:color w:val="000000"/>
                  <w:vertAlign w:val="superscript"/>
                </w:rPr>
                <w:t xml:space="preserve">[24]</w:t>
              </w:r>
              <w:r>
                <w:t xml:space="preserve">    Europa EU Competition and Antitrust "Executive Summary and Overview of the National Report in Greece." Available at: </w:t>
              </w:r>
              <w:hyperlink w:history="true" r:id="R8cb850ba93e946e8">
                <w:r>
                  <w:rPr>
                    <w:rStyle w:val="Hyperlink"/>
                  </w:rPr>
                  <w:t xml:space="preserve">https://ec.europa.eu/competition/antitrust/actionsdamages/executive_summaries/greece_en.pdf</w:t>
                </w:r>
              </w:hyperlink>
            </w:p>
            <w:p>
              <w:pPr>
                <w:pStyle w:val="BodyText"/>
              </w:pPr>
              <w:r>
                <w:rPr>
                  <w:color w:val="000000"/>
                  <w:vertAlign w:val="superscript"/>
                </w:rPr>
                <w:t xml:space="preserve">[25]</w:t>
              </w:r>
              <w:r>
                <w:t xml:space="preserve">    Greek Law Digest (2019) "Evidence in the Greek Civil, Criminal and Administrative Law." Available at: </w:t>
              </w:r>
              <w:hyperlink w:history="true" r:id="R1bf39b8dac684326">
                <w:r>
                  <w:rPr>
                    <w:rStyle w:val="Hyperlink"/>
                  </w:rPr>
                  <w:t xml:space="preserve">http://www.greeklawdigest.gr/topics/judicial-system/item/308-evidence-in-the-greek-civil-criminal-administrative-law</w:t>
                </w:r>
              </w:hyperlink>
            </w:p>
            <w:p>
              <w:pPr>
                <w:pStyle w:val="BodyText"/>
              </w:pPr>
              <w:r>
                <w:rPr>
                  <w:color w:val="000000"/>
                  <w:vertAlign w:val="superscript"/>
                </w:rPr>
                <w:t xml:space="preserve">[26]</w:t>
              </w:r>
              <w:r>
                <w:t xml:space="preserve">    </w:t>
              </w:r>
              <w:r>
                <w:rPr>
                  <w:i/>
                </w:rPr>
                <w:t xml:space="preserve">Ibid</w:t>
              </w:r>
              <w:r>
                <w:t xml:space="preserve">.</w:t>
              </w:r>
              <w:r>
                <w:t xml:space="preserve"> </w:t>
              </w:r>
            </w:p>
            <w:p>
              <w:pPr>
                <w:pStyle w:val="BodyText"/>
              </w:pPr>
              <w:r>
                <w:rPr>
                  <w:color w:val="000000"/>
                  <w:vertAlign w:val="superscript"/>
                </w:rPr>
                <w:t xml:space="preserve">[27]</w:t>
              </w:r>
              <w:r>
                <w:t xml:space="preserve">    HCCH (2020) "Greece — Central Authority (Article 2) and Practical Information." Available at: </w:t>
              </w:r>
              <w:hyperlink w:history="true" r:id="R0e2e4643804f4281">
                <w:r>
                  <w:rPr>
                    <w:rStyle w:val="Hyperlink"/>
                  </w:rPr>
                  <w:t xml:space="preserve">https://www.hcch.net/en/states/authorities/details3/?aid=665</w:t>
                </w:r>
              </w:hyperlink>
            </w:p>
            <w:p>
              <w:pPr>
                <w:pStyle w:val="BodyText"/>
              </w:pPr>
              <w:pPr>
                <w:ind w:left="0" w:right="0"/>
                <w:spacing w:before="0" w:after="0"/>
              </w:pPr>
              <w:r>
                <w:rPr>
                  <w:color w:val="000000"/>
                  <w:vertAlign w:val="superscript"/>
                </w:rPr>
                <w:t xml:space="preserve">[28]</w:t>
              </w:r>
              <w:r>
                <w:t xml:space="preserve"> S. van der Aa (2011) Protection Orders in the European Member States: Where Do We Stand and Where Do We Go from Here?</w:t>
              </w:r>
            </w:p>
            <w:p>
              <w:pPr>
                <w:pStyle w:val="BodyText"/>
              </w:pPr>
              <w:r>
                <w:rPr>
                  <w:color w:val="000000"/>
                  <w:vertAlign w:val="superscript"/>
                </w:rPr>
                <w:t xml:space="preserve">[29]</w:t>
              </w:r>
              <w:r>
                <w:t xml:space="preserve">    European Justice (2019) "Rights of Victims of Crime in Criminal Proceedings." Available at: </w:t>
              </w:r>
              <w:hyperlink w:history="true" r:id="Rc5f8525058f04a89">
                <w:r>
                  <w:rPr>
                    <w:rStyle w:val="Hyperlink"/>
                  </w:rPr>
                  <w:t xml:space="preserve">https://e-justice.europa.eu/content_rights_of_victims_of_crime_in_criminal_proceedings-171-EL-en.do?clang=en&amp;idSubpage=1&amp;member=1#n02</w:t>
                </w:r>
              </w:hyperlink>
            </w:p>
            <w:p>
              <w:pPr>
                <w:pStyle w:val="BodyText"/>
              </w:pPr>
              <w:r>
                <w:rPr>
                  <w:color w:val="000000"/>
                  <w:vertAlign w:val="superscript"/>
                </w:rPr>
                <w:t xml:space="preserve">[30]</w:t>
              </w:r>
              <w:r>
                <w:t xml:space="preserve">   </w:t>
              </w:r>
              <w:r>
                <w:t xml:space="preserve">D. Ioakeimidou (2017) "Abused Women Divide Justice." Available at: </w:t>
              </w:r>
              <w:hyperlink w:history="true" r:id="R7c0b57de3cf54fcd">
                <w:r>
                  <w:rPr>
                    <w:rStyle w:val="Hyperlink"/>
                  </w:rPr>
                  <w:t xml:space="preserve">https://www.efsyn.gr/nisides/131509_oi-kakopoiimenes-gynaikes-dihazoyn-ti-dikaiosyni</w:t>
                </w:r>
              </w:hyperlink>
            </w:p>
            <w:p>
              <w:pPr>
                <w:pStyle w:val="BodyText"/>
              </w:pPr>
              <w:r>
                <w:rPr>
                  <w:vertAlign w:val="superscript"/>
                </w:rPr>
                <w:t xml:space="preserve">[31]</w:t>
              </w:r>
              <w:r>
                <w:t xml:space="preserve">   </w:t>
              </w:r>
              <w:r>
                <w:t xml:space="preserve">UN Women (2017) "Report on the Legal Rights of Women and Girl Asylum Seekers in the European Union." Available at: </w:t>
              </w:r>
              <w:hyperlink w:history="true" r:id="Rb0e04d252dd54b3c">
                <w:r>
                  <w:rPr>
                    <w:rStyle w:val="Hyperlink"/>
                    <w:color w:val="002856"/>
                  </w:rPr>
                  <w:t xml:space="preserve">https://www.refworld.org/pdfid/59201c884.pdf</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urogender.eige.europa.eu/posts/greece-national-action-plan-gender-equality-2016-2020#resources" TargetMode="External" Id="R149d3032aa344f33" /><Relationship Type="http://schemas.openxmlformats.org/officeDocument/2006/relationships/hyperlink" Target="http://www.europeanrights.eu/public/commenti/stalking_testo.pdf" TargetMode="External" Id="R6d931accbb554b11" /><Relationship Type="http://schemas.openxmlformats.org/officeDocument/2006/relationships/hyperlink" Target="https://eige.europa.eu/sites/default/files/documents/2016.5475_mh0216770enn_pdfweb_20170215100603.pdf" TargetMode="External" Id="Rb6c0f88c6dee4b28" /><Relationship Type="http://schemas.openxmlformats.org/officeDocument/2006/relationships/hyperlink" Target="https://greece.greekreporter.com/2018/01/28/greece-records-13700-cases-of-domestic-violence/" TargetMode="External" Id="Re8fe68f98cc34739" /><Relationship Type="http://schemas.openxmlformats.org/officeDocument/2006/relationships/hyperlink" Target="http://poems-project.com/wp-content/uploads/2015/02/Greece-final.pdf" TargetMode="External" Id="R6e62365ee1024331" /><Relationship Type="http://schemas.openxmlformats.org/officeDocument/2006/relationships/hyperlink" Target="https://www.fairtrials.org/publication/criminal-justice-and-defence-rights-greece" TargetMode="External" Id="R1244e526b0ec4695" /><Relationship Type="http://schemas.openxmlformats.org/officeDocument/2006/relationships/hyperlink" Target="https://ec.europa.eu/competition/antitrust/actionsdamages/executive_summaries/greece_en.pdf" TargetMode="External" Id="R8cb850ba93e946e8" /><Relationship Type="http://schemas.openxmlformats.org/officeDocument/2006/relationships/hyperlink" Target="http://www.greeklawdigest.gr/topics/judicial-system/item/308-evidence-in-the-greek-civil-criminal-administrative-law" TargetMode="External" Id="R1bf39b8dac684326" /><Relationship Type="http://schemas.openxmlformats.org/officeDocument/2006/relationships/hyperlink" Target="https://www.hcch.net/en/states/authorities/details3/?aid=665" TargetMode="External" Id="R0e2e4643804f4281" /><Relationship Type="http://schemas.openxmlformats.org/officeDocument/2006/relationships/hyperlink" Target="https://e-justice.europa.eu/content_rights_of_victims_of_crime_in_criminal_proceedings-171-EL-en.do?clang=en&amp;amp;idSubpage=1&amp;amp;member=1#n02" TargetMode="External" Id="Rc5f8525058f04a89" /><Relationship Type="http://schemas.openxmlformats.org/officeDocument/2006/relationships/hyperlink" Target="https://www.efsyn.gr/nisides/131509_oi-kakopoiimenes-gynaikes-dihazoyn-ti-dikaiosyni" TargetMode="External" Id="R7c0b57de3cf54fcd" /><Relationship Type="http://schemas.openxmlformats.org/officeDocument/2006/relationships/hyperlink" Target="https://www.refworld.org/pdfid/59201c884.pdf" TargetMode="External" Id="Rb0e04d252dd54b3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