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Private M&amp;A Guide - Limited External Content - Luxembourg</w:t>
      </w:r>
      <w:r w:rsidR="00480329"/>
    </w:p>
    <w:p w:rsidRPr="00BC7873" w:rsidR="00BC7873" w:rsidP="00D354EF" w:rsidRDefault="00051AB4" w14:paraId="2476CC56" w14:textId="2FB25FA9">
      <w:pPr>
        <w:pStyle w:val="Title"/>
      </w:pPr>
      <w:r w:rsidRPr="00BC7873">
        <w:t>Agreeing to the acquisition agreement → Repetition of representations and warranties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repeat warranties at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Commonly used.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it common to repeat warranties at all times between signing and closing?</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Fairly common.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 bring-down certificate at closing common?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 unless required in a transaction for which warranty and indemnity insurance was sought.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is the applicable repetition standard, e.g., true in all material respects or Material Adverse Effect?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True and accurate in all material respects is the more common repetition standard, notably after the decline of the MAE use.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double materiality common (a materiality qualification in bring-down at closing and in representation(s))?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Frequency/market practice: Rarely.</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w:t>
      </w:r>
      <w:r>
        <w:t xml:space="preserve"> </w:t>
      </w:r>
      <w:r>
        <w:rPr>
          <w:b/>
        </w:rPr>
        <w:t xml:space="preserve">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https://resourcehub.bakermckenzie.com/en/resources/global-private-ma-guide-limited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