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Luxembourg</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Legal due diligence generally covers broader matters such as corporate issues, business permits, commercial agreements, tax issues, financing agreements, securities, employment and pensions matters, IP/IT and litigation, and for specific matters, such as for the acquisition of a real estate company or building, title deeds, lease agreements, easements, authorizations for the building and exploitation permits (in particular, commodo/incommodo authorization).</w:t>
              </w:r>
            </w:p>
            <w:p>
              <w:pPr>
                <w:pStyle w:val="BodyText"/>
              </w:pPr>
              <w:r>
                <w:t xml:space="preserve">The scope of the due diligence mainly depends on the activities and business of the target company. Customarily, the party instructing a third party to conduct a due diligence exercise on a target will tend to agree beforehand not only the scope of the due diligence, but also materiality thresholds applicable for reporting and sampling criteria for carrying out the due diligence in a more efficient way.</w:t>
              </w:r>
            </w:p>
            <w:p>
              <w:pPr>
                <w:pStyle w:val="BodyText"/>
              </w:pPr>
              <w:r>
                <w:t xml:space="preserve">Disclosure of documents and information is driven by the seller generally on the basis of the buyer's requests (in the case of buyer due diligence), while the buyer has limited independent and external sources to obtain information.</w:t>
              </w:r>
            </w:p>
            <w:p>
              <w:pPr>
                <w:pStyle w:val="BodyText"/>
              </w:pPr>
              <w:r>
                <w:t xml:space="preserve">The legal due diligence is typically limited to a review of documents in a virtual data room combined with a Q and A exercise and management interviews. It has become more common for a seller to provide a vendor due diligence report as part of the information granted to bidders in auction processes.</w:t>
              </w:r>
            </w:p>
            <w:p>
              <w:pPr>
                <w:pStyle w:val="BodyText"/>
              </w:pPr>
              <w:r>
                <w:t xml:space="preserve">Issues identified in the due diligence are typically dealt with by either: (i) having them rectified by the seller before signing/closing, sometimes addressed via conditions precedent, for the most salient points, or actions to signing/closing; (ii) representations and warranties in the share purchase agreement' or (iii) specific indemnities.</w:t>
              </w:r>
            </w:p>
            <w:p>
              <w:pPr>
                <w:pStyle w:val="BodyText"/>
              </w:pPr>
              <w:r>
                <w:rPr>
                  <w:b/>
                </w:rPr>
                <w:t xml:space="preserve">Independent appraisal</w:t>
              </w:r>
            </w:p>
            <w:p>
              <w:pPr>
                <w:pStyle w:val="BodyText"/>
              </w:pPr>
              <w:r>
                <w:t xml:space="preserve">In a typical private M&amp;A transaction (share or asset deal), an independent appraisal is not required by law where the purchase price is paid in cash. However, it is customary to use a valuation in determining the enterprise value and the purchase price for a certain target company.</w:t>
              </w:r>
            </w:p>
            <w:p>
              <w:pPr>
                <w:pStyle w:val="BodyText"/>
              </w:pPr>
              <w:r>
                <w:t xml:space="preserve">Depending on the corporate form of the companies involved in the transaction, independent appraisals may be required if the purchase price is not paid in cash but in kind through the issuance of new shares (capital contribution in kind).</w:t>
              </w:r>
            </w:p>
            <w:p>
              <w:pPr>
                <w:pStyle w:val="BodyText"/>
              </w:pPr>
              <w:r>
                <w:rPr>
                  <w:b/>
                </w:rPr>
                <w:t xml:space="preserve">Pricing and payment</w:t>
              </w:r>
            </w:p>
            <w:p>
              <w:pPr>
                <w:pStyle w:val="BodyText"/>
              </w:pPr>
              <w:r>
                <w:t xml:space="preserve">There are generally no restrictions on the pricing or methods of payment of the purchase price from a legal perspective.</w:t>
              </w:r>
            </w:p>
            <w:p>
              <w:pPr>
                <w:pStyle w:val="BodyText"/>
              </w:pPr>
              <w:r>
                <w:t xml:space="preserve">The purchase price can be paid in euro or other currency, in cash or in kind, in one or several instalments, etc. The acquisition agreement can provide for the full spectrum of price determination mechanisms customarily used in M&amp;A transactions. Recent trends indicate that s locked-box price mechanisms are becoming more popular.</w:t>
              </w:r>
            </w:p>
            <w:p>
              <w:pPr>
                <w:pStyle w:val="BodyText"/>
              </w:pPr>
              <w:r>
                <w:t xml:space="preserve">Options to secure the payment of the purchase price by the buyer (e.g. escrow mechanisms, holdback amounts, other forms of guarantee, etc.) are also generally used in practice.</w:t>
              </w:r>
            </w:p>
            <w:p>
              <w:pPr>
                <w:pStyle w:val="BodyText"/>
              </w:pPr>
              <w:r>
                <w:rPr>
                  <w:b/>
                </w:rPr>
                <w:t xml:space="preserve">Signing/closing</w:t>
              </w:r>
            </w:p>
            <w:p>
              <w:pPr>
                <w:pStyle w:val="BodyText"/>
              </w:pPr>
              <w:r>
                <w:rPr>
                  <w:i/>
                </w:rPr>
                <w:t xml:space="preserve">Share sale</w:t>
              </w:r>
            </w:p>
            <w:p>
              <w:pPr>
                <w:pStyle w:val="BodyText"/>
              </w:pPr>
              <w:r>
                <w:t xml:space="preserve">Share deals are commonly and frequently used in Luxembourg.</w:t>
              </w:r>
            </w:p>
            <w:p>
              <w:pPr>
                <w:pStyle w:val="BodyText"/>
              </w:pPr>
              <w:r>
                <w:t xml:space="preserve">The transfer of shares does not require notarization and the share purchase agreement can be executed under private seal. The articles of association or shareholders' agreement may restrict or add additional conditions to the transfer of shares (preemptive rights, transfer restrictions, lock-up).</w:t>
              </w:r>
            </w:p>
            <w:p>
              <w:pPr>
                <w:pStyle w:val="BodyText"/>
              </w:pPr>
              <w:r>
                <w:t xml:space="preserve">The law provides for specific formalities depending on the corporate form of the company whose shares are sold (e.g., specific shareholders' approval, registration in the shareholders' register). The target company needs to be notified with respect to the transfer of shares and, for this reason, it is customary that the target company be a party to the share purchase agreement.</w:t>
              </w:r>
            </w:p>
            <w:p>
              <w:pPr>
                <w:pStyle w:val="BodyText"/>
              </w:pPr>
              <w:r>
                <w:t xml:space="preserve">In principle, in share deals, agreements entered into by the target company remain unchanged and the company retains all its assets and all its liabilities.</w:t>
              </w:r>
            </w:p>
            <w:p>
              <w:pPr>
                <w:pStyle w:val="BodyText"/>
              </w:pPr>
              <w:r>
                <w:rPr>
                  <w:i/>
                </w:rPr>
                <w:t xml:space="preserve">Asset sale</w:t>
              </w:r>
            </w:p>
            <w:p>
              <w:pPr>
                <w:pStyle w:val="BodyText"/>
              </w:pPr>
              <w:r>
                <w:t xml:space="preserve">In principle, in asset sales, each single asset must be transferred in compliance with the transfer and form requirements applicable to that asset. Notarization is usually not required except for real estate. Sales of real estate assets require the involvement of a public notary. The transfer deed will take the form of an authentic notarial deed and must be recorded at the Mortgage Registry to provide the owner rights of opposition against third parties.</w:t>
              </w:r>
            </w:p>
            <w:p>
              <w:pPr>
                <w:pStyle w:val="BodyText"/>
              </w:pPr>
              <w:r>
                <w:t xml:space="preserve">In asset deals, business permits, licenses or contracts are, in principle, not transferred along with the asset, except in certain cases (e.g., lease agreements in real estate, building permits and authorizations, etc.). The buyer will obtain new permits and licenses (e.g., insurance or regulatory sector).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On 1 September 2023, a </w:t>
              </w:r>
              <w:hyperlink w:history="true" r:id="R064d7720fa304400">
                <w:r>
                  <w:rPr>
                    <w:rStyle w:val="Hyperlink"/>
                  </w:rPr>
                  <w:t xml:space="preserve">law creating a national screening regime of foreign direct investments</w:t>
                </w:r>
              </w:hyperlink>
              <w:r>
                <w:t xml:space="preserve"> likely to undermine security or public order, aiming to implement Regulation (EU) 2019/452 of 19 March 2019 establishing a framework for the screening of foreign direct investment in the EU, as amended (the "Luxembourg </w:t>
              </w:r>
              <w:r>
                <w:rPr>
                  <w:b/>
                </w:rPr>
                <w:t xml:space="preserve">FDI Screening Law</w:t>
              </w:r>
              <w:r>
                <w:t xml:space="preserve">"), entered into force.</w:t>
              </w:r>
            </w:p>
            <w:p>
              <w:pPr>
                <w:pStyle w:val="BodyText"/>
              </w:pPr>
              <w:r>
                <w:t xml:space="preserve">The national screening mechanism in Luxembourg applies to foreign direct investments (excluding portfolio investments) that may impact the security or public order in an entity governed by Luxembourg law engaged in critical activities on the Luxembourg territory. Critical activities encompass various sectors such as energy, transport, health, communications, data processing, defense, finance, media, and agri-food.</w:t>
              </w:r>
            </w:p>
            <w:p>
              <w:pPr>
                <w:pStyle w:val="BodyText"/>
              </w:pPr>
              <w:r>
                <w:t xml:space="preserve">The outcome could be authorization, conditional authorization or prohibition. The Minister in charge of economy ("</w:t>
              </w:r>
              <w:r>
                <w:rPr>
                  <w:b/>
                </w:rPr>
                <w:t xml:space="preserve">Minister</w:t>
              </w:r>
              <w:r>
                <w:t xml:space="preserve">") may impose measures or sanctions for non-compliance, including fines up to EUR 1 million for individuals and EUR 5 million for legal entities. Foreign investors can dispute fines within one month of the screening decision.</w:t>
              </w:r>
            </w:p>
            <w:p>
              <w:pPr>
                <w:pStyle w:val="BodyText"/>
              </w:pPr>
              <w:r>
                <w:t xml:space="preserve">For further information, see the more detailed section on "Foreign investment restrictions".</w:t>
              </w:r>
            </w:p>
            <w:p>
              <w:pPr>
                <w:pStyle w:val="BodyText"/>
              </w:pPr>
              <w:r>
                <w:rPr>
                  <w:b/>
                </w:rPr>
                <w:t xml:space="preserve">Antitrust/merger control</w:t>
              </w:r>
            </w:p>
            <w:p>
              <w:pPr>
                <w:pStyle w:val="BodyText"/>
              </w:pPr>
              <w:r>
                <w:t xml:space="preserve">Luxembourg currently has no merger control regime. However, a Bill has proposed the introduction of mandatory suspensory merger control. For further information, see the more detailed section on "Antitrust/merger control".</w:t>
              </w:r>
            </w:p>
            <w:p>
              <w:pPr>
                <w:pStyle w:val="BodyText"/>
              </w:pPr>
              <w:r>
                <w:rPr>
                  <w:b/>
                </w:rPr>
                <w:t xml:space="preserve">EU Foreign Subsidies Regulation</w:t>
              </w:r>
            </w:p>
            <w:p>
              <w:pPr>
                <w:pStyle w:val="BodyText"/>
              </w:pPr>
              <w:r>
                <w:t xml:space="preserve">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p>
              <w:pPr>
                <w:pStyle w:val="BodyText"/>
              </w:pPr>
              <w:r>
                <w:rPr>
                  <w:b/>
                </w:rPr>
                <w:t xml:space="preserve">Other regulatory or government approvals</w:t>
              </w:r>
            </w:p>
            <w:p>
              <w:pPr>
                <w:pStyle w:val="BodyText"/>
              </w:pPr>
              <w:r>
                <w:t xml:space="preserve">Depending on the type of investments, certain approvals by the applicable Luxembourg regulator might be needed for acquisition (e.g., Commissariat Aux Assurances, Commission de Surveillance du Secteur Financier,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General</w:t>
              </w:r>
            </w:p>
            <w:p>
              <w:pPr>
                <w:pStyle w:val="BodyText"/>
              </w:pPr>
              <w:r>
                <w:t xml:space="preserve">Because in a share acquisition there is no change to the employing entity, insofar as there is no change to employment conditions, no specific notification to or consent from employees and/or staff representatives is required.</w:t>
              </w:r>
            </w:p>
            <w:p>
              <w:pPr>
                <w:pStyle w:val="BodyText"/>
              </w:pPr>
              <w:r>
                <w:t xml:space="preserve">When an asset deal concerns the transfer of a business (or part of a business) as a going concern, employees of the business automatically and immediately transfer to the buyer by operation of law. The parties to the transfer of business are not free to choose which employees will transfer with the business and, legally, the employees transfer with all existing rights and obligations and the new employer is held to recognize the employees' previous years of service.</w:t>
              </w:r>
            </w:p>
            <w:p>
              <w:pPr>
                <w:pStyle w:val="BodyText"/>
              </w:pPr>
              <w:r>
                <w:t xml:space="preserve">The buyer as the legal successor of the former employer also becomes fully liable for all employment-related liabilities after the transfer. The transferor and the transferee are ,however, after the date of the transfer, jointly liable towards the employee for obligations that fell due prior to the date of the transfer, as a result of an employment contract or an employment relationship existing on the date of the transfer. Compensation for the automatic assumption of liabilities should be addressed in the transaction documents.</w:t>
              </w:r>
            </w:p>
            <w:p>
              <w:pPr>
                <w:pStyle w:val="BodyText"/>
              </w:pPr>
              <w:r>
                <w:t xml:space="preserve">Pension schemes and the transfer of pension liabilities need to be considered carefully in the transaction context as specific rules apply (there is in principle, no obligation to maintain the scheme).</w:t>
              </w:r>
            </w:p>
            <w:p>
              <w:pPr>
                <w:pStyle w:val="BodyText"/>
              </w:pPr>
              <w:r>
                <w:t xml:space="preserve">The Labor and Mine Inspection must be informed, according to Article L. 127-3 (2) of the Luxembourg Labor Code, that all required notification formalities relating to the transfer of employees have been effectively fulfilled.</w:t>
              </w:r>
            </w:p>
            <w:p>
              <w:pPr>
                <w:pStyle w:val="BodyText"/>
              </w:pPr>
              <w:r>
                <w:rPr>
                  <w:b/>
                </w:rPr>
                <w:t xml:space="preserve">Consultation requirements</w:t>
              </w:r>
            </w:p>
            <w:p>
              <w:pPr>
                <w:pStyle w:val="BodyText"/>
              </w:pPr>
              <w:r>
                <w:t xml:space="preserve">The employer must inform the employee representatives of any proposed transfer of business in good time before the completion of the transfer; such information must include the date of the transfer, the reasons for the transfer, the legal, economic and social consequences of the transfer for the employees, and any measures that may be taken as a result of the transfer.  </w:t>
              </w:r>
            </w:p>
            <w:p>
              <w:pPr>
                <w:pStyle w:val="BodyText"/>
              </w:pPr>
              <w:r>
                <w:t xml:space="preserve">If the staff headcount falls under the threshold for mandatory staff representatives, the transferor and/or transferee must notify all concerned employees in writing before the transfer. That notification must include the date of transfer, reasons for the transfer, legal, economic and social consequences of the transfer for the employees, and any measures that may be taken as a result of the transfer.</w:t>
              </w:r>
            </w:p>
            <w:p>
              <w:pPr>
                <w:pStyle w:val="BodyText"/>
              </w:pPr>
              <w:r>
                <w:t xml:space="preserve">Mergers also qualify as a transfer of business triggering notification and/or consultation requirements. Additional requirements apply in relation to cross-border deals in accordance with the law of 28 March 2025 and the law of 17 February 2025 which transpose the Mobility Directive (Directive (EU) 2019/2121).</w:t>
              </w:r>
            </w:p>
            <w:p>
              <w:pPr>
                <w:pStyle w:val="BodyText"/>
              </w:pPr>
              <w:r>
                <w:t xml:space="preserve">Staff representatives are generally required to be informed of the proposed impact of the business transfer on employment conditions and the transfer of the employees. Reorganizations and operational changes that need to be implemented in conjunction with the transaction (e.g., split of operations, carve-outs of employees, relocations) typically affect employment conditions and trigger consultation obligations. Although the staff representation does not have a veto right, consultations may take several months and may, therefore, adversely impact the timing of the implementation of the proposed changes, although legal advice shall be sought before any dismissal is made.</w:t>
              </w:r>
            </w:p>
            <w:p>
              <w:pPr>
                <w:pStyle w:val="BodyText"/>
              </w:pPr>
              <w:r>
                <w:t xml:space="preserve">Terminations solely due to a "transfer of business" are prohibited by law. Terminations for other business or personal reasons remain possible.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Asset deal</w:t>
              </w:r>
            </w:p>
            <w:p>
              <w:pPr>
                <w:pStyle w:val="BodyText"/>
              </w:pPr>
              <w:r>
                <w:rPr>
                  <w:i/>
                </w:rPr>
                <w:t xml:space="preserve">Acquisition</w:t>
              </w:r>
            </w:p>
            <w:p>
              <w:pPr>
                <w:pStyle w:val="BodyText"/>
              </w:pPr>
              <w:r>
                <w:t xml:space="preserve">The acquisition of assets by a Luxembourg company does not trigger adverse direct tax consequences. The acquisition cost of assets is treated as the cost base of that asset. Depreciation of the assets acquired depends on the nature of the assets and their estimated lifetime. Depreciation on buildings is allowed for tax purposes and is usually based on accounting rules. Some specific guidance exists in this respect. The basis for the depreciation of the acquired assets is usually the acquisition price. The acquisition costs could be tax-deductible or depreciated when activated. The depreciated acquisition cost affects the determination of future gains or losses arising on a subsequent disposal. However, in the event that an asset or a business is acquired from a related party at a price deemed not to be arm's length, a tax adjustment may be imposed by the Luxembourg tax authorities.</w:t>
              </w:r>
            </w:p>
            <w:p>
              <w:pPr>
                <w:pStyle w:val="BodyText"/>
              </w:pPr>
              <w:r>
                <w:t xml:space="preserve">Interest expenses incurred on debt financing in relation to the acquisition of an asset are generally tax-deductible. Limitations apply where the asset acquired generates exempt income and/or gains, such as, for example, participations qualifying for the application of the participation exemption regime or real estate assets located in a treaty jurisdiction. Attention should alsobe paid to the so-called  “interest deduction limitation rules” provided for by Article 168-bis of the Luxembourg Income Tax Law pursuant to the transposition of the EU Anti-Tax Avoidance Directive. The broad principle is that exceeding borrowing costs (i.e. costs that exceed interest and assimilated income) will be deductible in the tax period in which they are incurred only up to 30% of the taxpayer's earnings before interest, tax, depreciation and amortization (EBITDA).  Unused interest capacity and non-deductible borrowing costs can be carried forward for a number of years.</w:t>
              </w:r>
            </w:p>
            <w:p>
              <w:pPr>
                <w:pStyle w:val="BodyText"/>
              </w:pPr>
              <w:r>
                <w:rPr>
                  <w:i/>
                </w:rPr>
                <w:t xml:space="preserve">Sale</w:t>
              </w:r>
            </w:p>
            <w:p>
              <w:pPr>
                <w:pStyle w:val="BodyText"/>
              </w:pPr>
              <w:r>
                <w:t xml:space="preserve">Capital gains triggered from the disposal of assets are, in principle, subject to corporate income tax (CIT) and municipal business tax (MBT) at an ordinary aggregated rate of 23.87% (2026 rate for companies established in Luxembourg city).</w:t>
              </w:r>
            </w:p>
            <w:p>
              <w:pPr>
                <w:pStyle w:val="BodyText"/>
              </w:pPr>
              <w:r>
                <w:t xml:space="preserve">Capital gains realized by individuals acting in the course of the management of their private wealth are, as a rule, exempt, unless the gains are speculative or realized in a substantial participation. A gain is speculative if realized within two years regarding real estate or six months regarding all other assets.</w:t>
              </w:r>
            </w:p>
            <w:p>
              <w:pPr>
                <w:pStyle w:val="BodyText"/>
              </w:pPr>
              <w:r>
                <w:t xml:space="preserve">Capital gains on foreign real estate are generally exempt under applicable double tax treaties. Luxembourg tax law allows the temporary immunization of a capital gain derived from the disposal of a building or a non-depreciable fixed asset by correspondingly reducing the acquisition price of the asset acquired by the company in lieu of the disposed building or non-depreciable fixed asset.</w:t>
              </w:r>
            </w:p>
            <w:p>
              <w:pPr>
                <w:pStyle w:val="BodyText"/>
              </w:pPr>
              <w:r>
                <w:t xml:space="preserve">Provided that the proceeds of the entire sale are reinvested in the acquisition of another qualifying fixed asset at the end of the second year following the year of disposal, at the latest, any capital gains realized on the disposal of the assets will not be subject immediately to taxation in Luxembourg, but will be deferred.</w:t>
              </w:r>
            </w:p>
            <w:p>
              <w:pPr>
                <w:pStyle w:val="BodyText"/>
              </w:pPr>
              <w:r>
                <w:t xml:space="preserve">Finally, it is noteworthy to mention that from 1 January 2020 exit taxation rules in relation to the deemed disposal  of assets realized upon migration of the company out of Luxembourg (considered as a liquidation from a Luxembourg CIT perspective, if the migration implies the exit of the company from the Luxembourg tax jurisdiction) have been amended. Paragraph 127 of the Luxembourg general tax law (Abgabenordnung), which provides the possibility to postpone payment of the tax, under certain conditions, at exit indefinitely, has been changed and replaced by the possibility to defer the payment of the exit tax over a five-year period (conditions apply).</w:t>
              </w:r>
            </w:p>
            <w:p>
              <w:pPr>
                <w:pStyle w:val="BodyText"/>
              </w:pPr>
              <w:r>
                <w:rPr>
                  <w:i/>
                </w:rPr>
                <w:t xml:space="preserve">Indirect tax</w:t>
              </w:r>
            </w:p>
            <w:p>
              <w:pPr>
                <w:pStyle w:val="BodyText"/>
              </w:pPr>
              <w:r>
                <w:t xml:space="preserve">In an asset deal, the transfer of the assets is, in principle, regarded as several distinct supplies of goods, each of which is, in principle, subject to value-added tax (VAT) at the appropriate rate. However, no VAT is due when the sale of assets constitutes a totality of assets/business or part thereof as a going concern.</w:t>
              </w:r>
            </w:p>
            <w:p>
              <w:pPr>
                <w:pStyle w:val="BodyText"/>
              </w:pPr>
              <w:r>
                <w:t xml:space="preserve">Transfer tax is among the taxes levied on the acquisition of Luxembourg real estate.</w:t>
              </w:r>
            </w:p>
            <w:p>
              <w:pPr>
                <w:pStyle w:val="BodyText"/>
              </w:pPr>
              <w:r>
                <w:t xml:space="preserve">The sale of a real estate asset is subject to a 6% registration duty and 1% transcription tax. A 3% municipal surcharge is added for buildings within the Luxembourg municipality. The tax base is the market value or the consideration paid, if the consideration is higher than the market value.</w:t>
              </w:r>
            </w:p>
            <w:p>
              <w:pPr>
                <w:pStyle w:val="BodyText"/>
              </w:pPr>
              <w:r>
                <w:t xml:space="preserve">Legally, transfer tax is due to be paid by the buyer. However, it is customary for the buyer and the seller to agree on who will effectively bear the tax. Transfer tax is not recoverable for the buyer but is added to the cost price and, subsequently, (partly) amortized for CIT purposes.</w:t>
              </w:r>
            </w:p>
            <w:p>
              <w:pPr>
                <w:pStyle w:val="BodyText"/>
              </w:pPr>
              <w:r>
                <w:t xml:space="preserve">Transfer tax also applies in the event the sale, for VAT purposes, would be part of the transfer of going concern relief.</w:t>
              </w:r>
            </w:p>
            <w:p>
              <w:pPr>
                <w:pStyle w:val="BodyText"/>
              </w:pPr>
              <w:r>
                <w:rPr>
                  <w:b/>
                </w:rPr>
                <w:t xml:space="preserve">Share deal</w:t>
              </w:r>
            </w:p>
            <w:p>
              <w:pPr>
                <w:pStyle w:val="BodyText"/>
              </w:pPr>
              <w:r>
                <w:rPr>
                  <w:i/>
                </w:rPr>
                <w:t xml:space="preserve">Acquisition</w:t>
              </w:r>
            </w:p>
            <w:p>
              <w:pPr>
                <w:pStyle w:val="BodyText"/>
              </w:pPr>
              <w:r>
                <w:t xml:space="preserve">The acquisition of shares in a company does not trigger any transfer tax.</w:t>
              </w:r>
            </w:p>
            <w:p>
              <w:pPr>
                <w:pStyle w:val="BodyText"/>
              </w:pPr>
              <w:r>
                <w:t xml:space="preserve">For CIT purposes, the acquired shares should be booked at their cost price. Acquisition costs may be added to the fiscal cost price of the shares.</w:t>
              </w:r>
            </w:p>
            <w:p>
              <w:pPr>
                <w:pStyle w:val="BodyText"/>
              </w:pPr>
              <w:r>
                <w:t xml:space="preserve">Under certain conditions, a tax unity regime is available to achieve the effects of a debt push-down. If a Luxembourg resident company, or a Luxembourg permanent establishment of a foreign company that is subject to a tax corresponding to the Luxembourg CIT, holds directly or indirectly at least 95% of the nominal paid-up share capital of another Luxembourg resident company or Luxembourg permanent establishment of a foreign company that is subject to a tax equivalent to Luxembourg CIT, these companies can, subject to certain conditions, form a fiscal unity. Under certain conditions, a horizontal tax unity is also possible between companies with the same direct or indirect parent company without the parent company forming part of the unity. The parent company can be a fully taxable Luxembourg share capital company, a domestic permanent establishment of a fully taxable foreign share capital company, a fully taxable European Economic Area (EEA) share capital company, or a fully taxable permanent establishment of a fully taxable EEA share capital company.  Within a fiscal unity, the taxable income and losses of the companies participating in the unity are first determined and declared on a stand-alone basis and then aggregated, thereby allowing for group compensation of taxable income and tax losses. When the tax unity regime applies, the integrating company (i.e. the parent company in case of a vertical unity or the chosen integrating subsidiary in case of horizontal unity), is responsible for the declaration of the unity’s income and for the payment of the CIT due by the group. Specific rules apply to the carry-forward and availability of the losses generated before and during the application of the fiscal unity. The tax unity must be applied for through the submission of a joint request by all the companies wishing to participate in the unity (and also by the non-integrating parent company in case of a horizontal unity) by the end of the first fiscal year in which the unity is to apply. The requirements for the application of the fiscal unity, which include the minimum participation requirement and an identical fiscal year of the companies participating in the unity, must be met starting from the first day of that fiscal year. The fiscal unity must last at least five consecutive fiscal years. An early termination triggers the taxation in arrears of the companies participating in the fiscal unity on a standalone basis.</w:t>
              </w:r>
            </w:p>
            <w:p>
              <w:pPr>
                <w:pStyle w:val="BodyText"/>
              </w:pPr>
              <w:r>
                <w:rPr>
                  <w:i/>
                </w:rPr>
                <w:t xml:space="preserve">Sale</w:t>
              </w:r>
            </w:p>
            <w:p>
              <w:pPr>
                <w:pStyle w:val="BodyText"/>
              </w:pPr>
              <w:r>
                <w:t xml:space="preserve">In general, capital gains are subject to the maximum statutory rate of 23.87% for CIT and MBT in the fiscal year 2026. However, capital gains realised on qualifying participations may be fully exempt under the conditions of the domestic or participation exemption regime. Capital losses on shares are generally deductible for Luxembourg CIT purposes.</w:t>
              </w:r>
            </w:p>
            <w:p>
              <w:pPr>
                <w:pStyle w:val="BodyText"/>
              </w:pPr>
              <w:r>
                <w:t xml:space="preserve">The right to tax capital gains on shares realized by a corporate nonresident acting without a permanent establishment in Luxembourg is generally allocated to the seller's country of residence based on the applicable tax treaty.</w:t>
              </w:r>
            </w:p>
            <w:p>
              <w:pPr>
                <w:pStyle w:val="BodyText"/>
              </w:pPr>
              <w:r>
                <w:t xml:space="preserve">However, if the sale of a participation in a Luxembourg company qualifying as a substantial participation is made within a period of six months after the acquisition, any gain realized upon the sale will be taxed in Luxembourg, unless a double tax treaty provides otherwise.</w:t>
              </w:r>
            </w:p>
            <w:p>
              <w:pPr>
                <w:pStyle w:val="BodyText"/>
              </w:pPr>
              <w:r>
                <w:rPr>
                  <w:i/>
                </w:rPr>
                <w:t xml:space="preserve">Mergers and demergers</w:t>
              </w:r>
            </w:p>
            <w:p>
              <w:pPr>
                <w:pStyle w:val="BodyText"/>
              </w:pPr>
              <w:r>
                <w:t xml:space="preserve">As a rule, any latent gain disclosed in the context of a transfer of assets and/or liabilities in the case of a merger or demerger is subject to Luxembourg CIT (whilst a loss is generally deductible). Goodwill and other fiscal reserves that are not retained following the demerger will be added to taxable profits in the year of the merger or demerger. However, tax law provides broad possibilities for carrying out  domestic and cross-border demergers in a tax-neutral way, under certain conditions, for the company itself and for its shareholders.  A case-by-case analysis is generally necessary.</w:t>
              </w:r>
            </w:p>
            <w:p>
              <w:pPr>
                <w:pStyle w:val="BodyText"/>
              </w:pPr>
              <w:r>
                <w:rPr>
                  <w:i/>
                </w:rPr>
                <w:t xml:space="preserve">Indirect tax</w:t>
              </w:r>
            </w:p>
            <w:p>
              <w:pPr>
                <w:pStyle w:val="BodyText"/>
              </w:pPr>
              <w:r>
                <w:t xml:space="preserve">Transactions relating to shares and participations in other companies (e.g., acquisition, holding and sale of shares), in principle, fall outside the scope of VAT.</w:t>
              </w:r>
            </w:p>
            <w:p>
              <w:pPr>
                <w:pStyle w:val="BodyText"/>
              </w:pPr>
              <w:r>
                <w:t xml:space="preserve">However, these transactions may fall within the VAT scope where they are performed in the context of a trading activity. In this case, transactions relating to shares will be exempt from VAT.</w:t>
              </w:r>
            </w:p>
            <w:p>
              <w:pPr>
                <w:pStyle w:val="BodyText"/>
              </w:pPr>
              <w:r>
                <w:t xml:space="preserve">The traditional view is that VAT incurred on costs referable to the disposal/acquisition of shares is not deductible. However, the Court of Justice of the European Union has sometimes conceded that this VAT might be deducted where the costs incurred present a direct and immediate link to the taxable person's general activities giving right to a VAT deduction.</w:t>
              </w:r>
            </w:p>
            <w:p>
              <w:pPr>
                <w:pStyle w:val="BodyText"/>
              </w:pPr>
              <w:r>
                <w:t xml:space="preserve">The deductibility of input VAT attributable to the sale/acquisition of shares or participation very much depends on the facts of each case. Therefore, the setup of a share deal should be carefully reviewed to mitigate the risk of non-recoverable VAT.</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1d745f4892714cb9">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1d745f4892714cb9" /><Relationship Type="http://schemas.openxmlformats.org/officeDocument/2006/relationships/hyperlink" Target="https://bakerxchange.com/collect/click.aspx?u=dytscWlNUDZjOWpjQWRpOE1KeDhiYnNOVWlubWNNSUNUK1lXUis1alpPWWJQaFBBMlpBcjFuQ0szcVhtZUE5QVFlQXRvRmpLdkNrYXBqN3h2UTdBcFpHM0I2bmlFNVdhMjFqcUl4NjM1SEJXZ3JZeHA4aHJaSG5RaXZ3S1gyb2k=&amp;amp;amp;rh=ff00bca3452577777f02eaebbe48964cabdde242" TargetMode="External" Id="R064d7720fa30440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