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Thailand</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Not applicable</w:t>
              </w:r>
            </w:p>
            <w:p>
              <w:pPr>
                <w:pStyle w:val="BodyText"/>
              </w:pPr>
              <w:r>
                <w:rPr>
                  <w:b/>
                </w:rPr>
                <w:t xml:space="preserve">Standard VAT / GST rate</w:t>
              </w:r>
            </w:p>
            <w:p>
              <w:pPr>
                <w:pStyle w:val="BodyText"/>
              </w:pPr>
              <w:r>
                <w:t xml:space="preserve">7 </w:t>
              </w:r>
              <w:r>
                <w:rPr>
                  <w:vertAlign w:val="superscript"/>
                </w:rPr>
                <w:t xml:space="preserve">[1]</w:t>
              </w:r>
            </w:p>
            <w:p>
              <w:pPr>
                <w:pStyle w:val="BodyText"/>
              </w:pPr>
              <w:r>
                <w:rPr>
                  <w:b/>
                </w:rPr>
                <w:t xml:space="preserve">High VAT / GST rate</w:t>
              </w:r>
            </w:p>
            <w:p>
              <w:pPr>
                <w:pStyle w:val="BodyText"/>
              </w:pPr>
              <w:r>
                <w:t xml:space="preserve">Not applicable</w:t>
              </w:r>
            </w:p>
            <w:p>
              <w:pPr>
                <w:pStyle w:val="BodyText"/>
              </w:pPr>
              <w:r>
                <w:t xml:space="preserve"> </w:t>
              </w:r>
            </w:p>
            <w:p>
              <w:pPr>
                <w:pStyle w:val="BodyText"/>
              </w:pPr>
              <w:r>
                <w:t xml:space="preserve"> [1] The standard VAT rate for Thailand remains at 7%. However, 0% VAT rate is for export of goods or services.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