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Bolsa Mexicana de Valores</w:t>
      </w:r>
      <w:r w:rsidR="00480329"/>
    </w:p>
    <w:p w:rsidRPr="00BC7873" w:rsidR="00BC7873" w:rsidP="00D354EF" w:rsidRDefault="00051AB4" w14:paraId="2476CC56" w14:textId="2FB25FA9">
      <w:pPr>
        <w:pStyle w:val="Title"/>
      </w:pPr>
      <w:r w:rsidRPr="00BC7873">
        <w:t>Additional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Additional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MILA is the first multiple stock exchange agreement executed by the BMV. MILA is an agreement executed by the Santiago Stock Exchange (Chile), the Colombia Stock Exchange (Colombia), the Lima Stock Exchange (Peru) and the BMV. MILA was initially signed by Chile, Colombia and Peru in 2010. Mexico joined MILA in 2014. </w:t>
              </w:r>
            </w:p>
            <w:p>
              <w:pPr>
                <w:pStyle w:val="BodyText"/>
              </w:pPr>
              <w:r>
                <w:t xml:space="preserve">On 28 December 2023, the Federal Official Gazette published a decree modifying certain provisions of the LMV permitting a simplified process scheme with less requirements for SMEs to place debt or equity on the Mexican Stock Market (either BMV or BIVA).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