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Data and Cyber Handbook Lite - Vietnam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 Contacts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and Cybersecurity Laws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data privacy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16 January 2026</w:t>
                  </w:r>
                </w:p>
                <w:p>
                  <w:pPr>
                    <w:pStyle w:val="BodyText"/>
                  </w:pPr>
                  <w:pPr>
                    <w:pStyle w:val="ListParagraph"/>
                    <w:numPr>
                      <w:ilvl w:val="0"/>
                      <w:numId w:val="12"/>
                    </w:numPr>
                  </w:pPr>
                  <w:r>
                    <w:t xml:space="preserve">Civil Code </w:t>
                  </w:r>
                  <w:hyperlink w:history="true" r:id="R4c4bca0f4a6a4afa">
                    <w:r>
                      <w:rPr>
                        <w:rStyle w:val="Hyperlink"/>
                      </w:rPr>
                      <w:t xml:space="preserve">No. 91/2015/QH13, adopted by the National Assembly on 24 November 2015</w:t>
                    </w:r>
                  </w:hyperlink>
                  <w:r>
                    <w:t xml:space="preserve"> ("</w:t>
                  </w:r>
                  <w:r>
                    <w:rPr>
                      <w:b/>
                    </w:rPr>
                    <w:t xml:space="preserve">Civil Code</w:t>
                  </w:r>
                  <w:r>
                    <w:t xml:space="preserve">")</w:t>
                  </w:r>
                </w:p>
                <w:p>
                  <w:pPr>
                    <w:pStyle w:val="BodyText"/>
                  </w:pPr>
                  <w:pPr>
                    <w:pStyle w:val="ListParagraph"/>
                    <w:numPr>
                      <w:ilvl w:val="0"/>
                      <w:numId w:val="12"/>
                    </w:numPr>
                  </w:pPr>
                  <w:r>
                    <w:t xml:space="preserve">Criminal Code No. 100</w:t>
                  </w:r>
                  <w:hyperlink w:history="true" r:id="R6e4e69a11bbd487b">
                    <w:r>
                      <w:rPr>
                        <w:rStyle w:val="Hyperlink"/>
                      </w:rPr>
                      <w:t xml:space="preserve">/2015/QH13, adopted by the National Assembly on 27 November 2015</w:t>
                    </w:r>
                  </w:hyperlink>
                  <w:r>
                    <w:t xml:space="preserve"> ("</w:t>
                  </w:r>
                  <w:r>
                    <w:rPr>
                      <w:b/>
                    </w:rPr>
                    <w:t xml:space="preserve">Criminal Code</w:t>
                  </w:r>
                  <w:r>
                    <w:t xml:space="preserve">")</w:t>
                  </w:r>
                </w:p>
                <w:p>
                  <w:pPr>
                    <w:pStyle w:val="BodyText"/>
                  </w:pPr>
                  <w:pPr>
                    <w:pStyle w:val="ListParagraph"/>
                    <w:numPr>
                      <w:ilvl w:val="0"/>
                      <w:numId w:val="12"/>
                    </w:numPr>
                  </w:pPr>
                  <w:r>
                    <w:t xml:space="preserve">Labor Code </w:t>
                  </w:r>
                  <w:hyperlink w:history="true" r:id="R2e81af625c0c45c6">
                    <w:r>
                      <w:rPr>
                        <w:rStyle w:val="Hyperlink"/>
                      </w:rPr>
                      <w:t xml:space="preserve">No. 45/2019/QH14, adopted by the National Assembly on 20 November 2019</w:t>
                    </w:r>
                  </w:hyperlink>
                  <w:r>
                    <w:t xml:space="preserve"> ("</w:t>
                  </w:r>
                  <w:r>
                    <w:rPr>
                      <w:b/>
                    </w:rPr>
                    <w:t xml:space="preserve">Labor Code</w:t>
                  </w:r>
                  <w:r>
                    <w:t xml:space="preserve">")</w:t>
                  </w:r>
                </w:p>
                <w:p>
                  <w:pPr>
                    <w:pStyle w:val="BodyText"/>
                  </w:pPr>
                  <w:pPr>
                    <w:pStyle w:val="ListParagraph"/>
                    <w:numPr>
                      <w:ilvl w:val="0"/>
                      <w:numId w:val="12"/>
                    </w:numPr>
                  </w:pPr>
                  <w:hyperlink w:history="true" r:id="Ra53a3affc2be42a8">
                    <w:r>
                      <w:rPr>
                        <w:rStyle w:val="Hyperlink"/>
                      </w:rPr>
                      <w:t xml:space="preserve">Law No. 91/2025/QH15, adopted by the National Assembly on 26 June 2025</w:t>
                    </w:r>
                  </w:hyperlink>
                  <w:r>
                    <w:t xml:space="preserve">, on Personal Data Protection ("</w:t>
                  </w:r>
                  <w:r>
                    <w:rPr>
                      <w:b/>
                    </w:rPr>
                    <w:t xml:space="preserve">PDPL</w:t>
                  </w:r>
                  <w:r>
                    <w:t xml:space="preserve">")</w:t>
                  </w:r>
                </w:p>
                <w:p>
                  <w:pPr>
                    <w:pStyle w:val="BodyText"/>
                  </w:pPr>
                  <w:pPr>
                    <w:pStyle w:val="ListParagraph"/>
                    <w:numPr>
                      <w:ilvl w:val="0"/>
                      <w:numId w:val="12"/>
                    </w:numPr>
                  </w:pPr>
                  <w:hyperlink w:history="true" r:id="R61b0b07b7cda40d8">
                    <w:r>
                      <w:rPr>
                        <w:rStyle w:val="Hyperlink"/>
                      </w:rPr>
                      <w:t xml:space="preserve">Law No. 116/2025/QH15, adopted by the National Assembly on 10 December 2025</w:t>
                    </w:r>
                  </w:hyperlink>
                  <w:r>
                    <w:t xml:space="preserve">, on Cybersecurity ("</w:t>
                  </w:r>
                  <w:r>
                    <w:rPr>
                      <w:b/>
                    </w:rPr>
                    <w:t xml:space="preserve">2025 Cybersecurity Law</w:t>
                  </w:r>
                  <w:r>
                    <w:t xml:space="preserve">")</w:t>
                  </w:r>
                </w:p>
                <w:p>
                  <w:pPr>
                    <w:pStyle w:val="BodyText"/>
                  </w:pPr>
                  <w:pPr>
                    <w:pStyle w:val="ListParagraph"/>
                    <w:numPr>
                      <w:ilvl w:val="0"/>
                      <w:numId w:val="12"/>
                    </w:numPr>
                  </w:pPr>
                  <w:hyperlink w:history="true" r:id="Rdc62bbda35a5441e">
                    <w:r>
                      <w:rPr>
                        <w:rStyle w:val="Hyperlink"/>
                      </w:rPr>
                      <w:t xml:space="preserve">Law No. 67/2006/QH11, adopted by the National Assembly on 29 June 2006</w:t>
                    </w:r>
                  </w:hyperlink>
                  <w:r>
                    <w:t xml:space="preserve">, on Information Technology ("</w:t>
                  </w:r>
                  <w:r>
                    <w:rPr>
                      <w:b/>
                    </w:rPr>
                    <w:t xml:space="preserve">IT Law</w:t>
                  </w:r>
                  <w:r>
                    <w:t xml:space="preserve">")</w:t>
                  </w:r>
                </w:p>
                <w:p>
                  <w:pPr>
                    <w:pStyle w:val="BodyText"/>
                  </w:pPr>
                  <w:pPr>
                    <w:pStyle w:val="ListParagraph"/>
                    <w:numPr>
                      <w:ilvl w:val="0"/>
                      <w:numId w:val="12"/>
                    </w:numPr>
                  </w:pPr>
                  <w:hyperlink w:history="true" r:id="R7822a0859dd143dc">
                    <w:r>
                      <w:rPr>
                        <w:rStyle w:val="Hyperlink"/>
                      </w:rPr>
                      <w:t xml:space="preserve">Law No. 86/2015/QH13, adopted by the National Assembly on 19 November 2015</w:t>
                    </w:r>
                  </w:hyperlink>
                  <w:r>
                    <w:t xml:space="preserve">, on Cyber Information Security ("</w:t>
                  </w:r>
                  <w:r>
                    <w:rPr>
                      <w:b/>
                    </w:rPr>
                    <w:t xml:space="preserve">LOCIS</w:t>
                  </w:r>
                  <w:r>
                    <w:t xml:space="preserve">")</w:t>
                  </w:r>
                </w:p>
                <w:p>
                  <w:pPr>
                    <w:pStyle w:val="BodyText"/>
                  </w:pPr>
                  <w:pPr>
                    <w:pStyle w:val="ListParagraph"/>
                    <w:numPr>
                      <w:ilvl w:val="0"/>
                      <w:numId w:val="12"/>
                    </w:numPr>
                  </w:pPr>
                  <w:hyperlink w:history="true" r:id="R8366e2e27ad24245">
                    <w:r>
                      <w:rPr>
                        <w:rStyle w:val="Hyperlink"/>
                      </w:rPr>
                      <w:t xml:space="preserve">Law No. 10/2016/QH13, adopted by the National Assembly on 24 November 2015, on</w:t>
                    </w:r>
                  </w:hyperlink>
                  <w:r>
                    <w:t xml:space="preserve"> Children ("</w:t>
                  </w:r>
                  <w:r>
                    <w:rPr>
                      <w:b/>
                    </w:rPr>
                    <w:t xml:space="preserve">Law on Children</w:t>
                  </w:r>
                  <w:r>
                    <w:t xml:space="preserve">")</w:t>
                  </w:r>
                </w:p>
                <w:p>
                  <w:pPr>
                    <w:pStyle w:val="BodyText"/>
                  </w:pPr>
                  <w:pPr>
                    <w:pStyle w:val="ListParagraph"/>
                    <w:numPr>
                      <w:ilvl w:val="0"/>
                      <w:numId w:val="12"/>
                    </w:numPr>
                  </w:pPr>
                  <w:hyperlink w:history="true" r:id="Rb4cfe79c06c04bb4">
                    <w:r>
                      <w:rPr>
                        <w:rStyle w:val="Hyperlink"/>
                      </w:rPr>
                      <w:t xml:space="preserve">Law No. 24/2018/QH14, adopted by the National Assembly on 12 June 2018</w:t>
                    </w:r>
                  </w:hyperlink>
                  <w:r>
                    <w:t xml:space="preserve">, on Cybersecurity ("</w:t>
                  </w:r>
                  <w:r>
                    <w:rPr>
                      <w:b/>
                    </w:rPr>
                    <w:t xml:space="preserve">LOCS"</w:t>
                  </w:r>
                  <w:r>
                    <w:t xml:space="preserve">)</w:t>
                  </w:r>
                </w:p>
                <w:p>
                  <w:pPr>
                    <w:pStyle w:val="BodyText"/>
                  </w:pPr>
                  <w:pPr>
                    <w:pStyle w:val="ListParagraph"/>
                    <w:numPr>
                      <w:ilvl w:val="0"/>
                      <w:numId w:val="12"/>
                    </w:numPr>
                  </w:pPr>
                  <w:hyperlink w:history="true" r:id="R0a5887e9b8a9438f">
                    <w:r>
                      <w:rPr>
                        <w:rStyle w:val="Hyperlink"/>
                      </w:rPr>
                      <w:t xml:space="preserve">Law No. 19/2023/QH15, adopted by the National Assembly on 20 June 2023</w:t>
                    </w:r>
                  </w:hyperlink>
                  <w:r>
                    <w:t xml:space="preserve">, on Protection of Consumers' Rights ("</w:t>
                  </w:r>
                  <w:r>
                    <w:rPr>
                      <w:b/>
                    </w:rPr>
                    <w:t xml:space="preserve">Consumer Protection Law</w:t>
                  </w:r>
                  <w:r>
                    <w:t xml:space="preserve">")</w:t>
                  </w:r>
                </w:p>
                <w:p>
                  <w:pPr>
                    <w:pStyle w:val="BodyText"/>
                  </w:pPr>
                  <w:pPr>
                    <w:pStyle w:val="ListParagraph"/>
                    <w:numPr>
                      <w:ilvl w:val="0"/>
                      <w:numId w:val="12"/>
                    </w:numPr>
                  </w:pPr>
                  <w:hyperlink w:history="true" r:id="R8f21d5968ebb42cc">
                    <w:r>
                      <w:rPr>
                        <w:rStyle w:val="Hyperlink"/>
                      </w:rPr>
                      <w:t xml:space="preserve">Decree No. 356/2025/ND-CP, dated 31 December 2025</w:t>
                    </w:r>
                  </w:hyperlink>
                  <w:r>
                    <w:t xml:space="preserve">, detailing a number of articles and measures to implement the Personal Data Protection Law ("</w:t>
                  </w:r>
                  <w:r>
                    <w:rPr>
                      <w:b/>
                    </w:rPr>
                    <w:t xml:space="preserve">Decree 356</w:t>
                  </w:r>
                  <w:r>
                    <w:t xml:space="preserve">")</w:t>
                  </w:r>
                </w:p>
                <w:p>
                  <w:pPr>
                    <w:pStyle w:val="BodyText"/>
                  </w:pPr>
                  <w:pPr>
                    <w:pStyle w:val="ListParagraph"/>
                    <w:numPr>
                      <w:ilvl w:val="0"/>
                      <w:numId w:val="12"/>
                    </w:numPr>
                  </w:pPr>
                  <w:hyperlink w:history="true" r:id="Rb52b2eeeb7004239">
                    <w:r>
                      <w:rPr>
                        <w:rStyle w:val="Hyperlink"/>
                      </w:rPr>
                      <w:t xml:space="preserve">Decree No. 52/2013/ND-CP, dated 16 May 2013</w:t>
                    </w:r>
                  </w:hyperlink>
                  <w:r>
                    <w:t xml:space="preserve">, on e-commerce, as amended and supplemented by </w:t>
                  </w:r>
                  <w:hyperlink w:history="true" r:id="Rb0cae18433954a93">
                    <w:r>
                      <w:rPr>
                        <w:rStyle w:val="Hyperlink"/>
                      </w:rPr>
                      <w:t xml:space="preserve">Decree No. 85/2021/ND-CP</w:t>
                    </w:r>
                  </w:hyperlink>
                  <w:r>
                    <w:t xml:space="preserve"> ("</w:t>
                  </w:r>
                  <w:r>
                    <w:rPr>
                      <w:b/>
                    </w:rPr>
                    <w:t xml:space="preserve">Decree No. 52</w:t>
                  </w:r>
                  <w:r>
                    <w:t xml:space="preserve">")</w:t>
                  </w:r>
                </w:p>
                <w:p>
                  <w:pPr>
                    <w:pStyle w:val="BodyText"/>
                  </w:pPr>
                  <w:pPr>
                    <w:pStyle w:val="ListParagraph"/>
                    <w:numPr>
                      <w:ilvl w:val="0"/>
                      <w:numId w:val="12"/>
                    </w:numPr>
                  </w:pPr>
                  <w:hyperlink w:history="true" r:id="Rc040b22c371547da">
                    <w:r>
                      <w:rPr>
                        <w:rStyle w:val="Hyperlink"/>
                      </w:rPr>
                      <w:t xml:space="preserve">Decree No. 15/2020/ND-CP, dated 03 February 2020, providing penalties for administrative violations pertaining to postal, telecommunication, information technology, radio frequency areas and e-transactions</w:t>
                    </w:r>
                  </w:hyperlink>
                  <w:r>
                    <w:t xml:space="preserve"> as amended and supplemented by </w:t>
                  </w:r>
                  <w:hyperlink w:history="true" r:id="R7c4f9c5c152c4570">
                    <w:r>
                      <w:rPr>
                        <w:rStyle w:val="Hyperlink"/>
                      </w:rPr>
                      <w:t xml:space="preserve">Decree No. 14/2022/ND-CP</w:t>
                    </w:r>
                  </w:hyperlink>
                  <w:r>
                    <w:t xml:space="preserve"> ("</w:t>
                  </w:r>
                  <w:r>
                    <w:rPr>
                      <w:b/>
                    </w:rPr>
                    <w:t xml:space="preserve">Decree No. 15</w:t>
                  </w:r>
                  <w:r>
                    <w:t xml:space="preserve">")</w:t>
                  </w:r>
                </w:p>
                <w:p>
                  <w:pPr>
                    <w:pStyle w:val="BodyText"/>
                  </w:pPr>
                  <w:pPr>
                    <w:pStyle w:val="ListParagraph"/>
                    <w:numPr>
                      <w:ilvl w:val="0"/>
                      <w:numId w:val="12"/>
                    </w:numPr>
                  </w:pPr>
                  <w:hyperlink w:history="true" r:id="R0238a11caa2f4b79">
                    <w:r>
                      <w:rPr>
                        <w:rStyle w:val="Hyperlink"/>
                      </w:rPr>
                      <w:t xml:space="preserve">Decree No. 91/2020/ND-CP, dated 14 August 2020, on spam messages, spam emails and spam calls</w:t>
                    </w:r>
                  </w:hyperlink>
                  <w:r>
                    <w:t xml:space="preserve"> ("</w:t>
                  </w:r>
                  <w:r>
                    <w:rPr>
                      <w:b/>
                    </w:rPr>
                    <w:t xml:space="preserve">Decree No. 91</w:t>
                  </w:r>
                  <w:r>
                    <w:t xml:space="preserve">")</w:t>
                  </w:r>
                </w:p>
                <w:p>
                  <w:pPr>
                    <w:pStyle w:val="BodyText"/>
                  </w:pPr>
                  <w:pPr>
                    <w:pStyle w:val="ListParagraph"/>
                    <w:numPr>
                      <w:ilvl w:val="0"/>
                      <w:numId w:val="12"/>
                    </w:numPr>
                  </w:pPr>
                  <w:hyperlink w:history="true" r:id="Rd4e4201e778e4170">
                    <w:r>
                      <w:rPr>
                        <w:rStyle w:val="Hyperlink"/>
                      </w:rPr>
                      <w:t xml:space="preserve">Decree No. 147/2024/ND-CP, dated 9 November 2024</w:t>
                    </w:r>
                  </w:hyperlink>
                  <w:r>
                    <w:t xml:space="preserve">, on the management, provision, and use of Internet services and online information ("</w:t>
                  </w:r>
                  <w:r>
                    <w:rPr>
                      <w:b/>
                    </w:rPr>
                    <w:t xml:space="preserve">Decree No. 147</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cybersecurity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16 January 2026</w:t>
                  </w:r>
                </w:p>
                <w:p>
                  <w:pPr>
                    <w:pStyle w:val="BodyText"/>
                  </w:pPr>
                  <w:pPr>
                    <w:pStyle w:val="ListParagraph"/>
                    <w:numPr>
                      <w:ilvl w:val="0"/>
                      <w:numId w:val="11"/>
                    </w:numPr>
                  </w:pPr>
                  <w:hyperlink w:history="true" r:id="R56a2a4f52818423e">
                    <w:r>
                      <w:rPr>
                        <w:rStyle w:val="Hyperlink"/>
                      </w:rPr>
                      <w:t xml:space="preserve">Law No. 116/2025/QH15, adopted by the National Assembly on 10 December 2025</w:t>
                    </w:r>
                  </w:hyperlink>
                  <w:r>
                    <w:t xml:space="preserve">, on Cybersecurity ("</w:t>
                  </w:r>
                  <w:r>
                    <w:rPr>
                      <w:b/>
                    </w:rPr>
                    <w:t xml:space="preserve">2025 Cybersecurity Law</w:t>
                  </w:r>
                  <w:r>
                    <w:t xml:space="preserve">")</w:t>
                  </w:r>
                </w:p>
                <w:p>
                  <w:pPr>
                    <w:pStyle w:val="BodyText"/>
                  </w:pPr>
                  <w:pPr>
                    <w:pStyle w:val="ListParagraph"/>
                    <w:numPr>
                      <w:ilvl w:val="0"/>
                      <w:numId w:val="11"/>
                    </w:numPr>
                  </w:pPr>
                  <w:hyperlink w:history="true" r:id="R073804dee5ba440a">
                    <w:r>
                      <w:rPr>
                        <w:rStyle w:val="Hyperlink"/>
                      </w:rPr>
                      <w:t xml:space="preserve">Law No. 24/2018/QH14, adopted by the National Assembly on 12 June 2018</w:t>
                    </w:r>
                  </w:hyperlink>
                  <w:r>
                    <w:t xml:space="preserve">, on Cybersecurity ("</w:t>
                  </w:r>
                  <w:r>
                    <w:rPr>
                      <w:b/>
                    </w:rPr>
                    <w:t xml:space="preserve">LOCS"</w:t>
                  </w:r>
                  <w:r>
                    <w:t xml:space="preserve">)</w:t>
                  </w:r>
                </w:p>
                <w:p>
                  <w:pPr>
                    <w:pStyle w:val="BodyText"/>
                  </w:pPr>
                  <w:pPr>
                    <w:pStyle w:val="ListParagraph"/>
                    <w:numPr>
                      <w:ilvl w:val="0"/>
                      <w:numId w:val="11"/>
                    </w:numPr>
                  </w:pPr>
                  <w:hyperlink w:history="true" r:id="R74e6b8d4ec9c405d">
                    <w:r>
                      <w:rPr>
                        <w:rStyle w:val="Hyperlink"/>
                      </w:rPr>
                      <w:t xml:space="preserve">Law No. 67/2006/QH11, adopted by the National Assembly on 29 June 2006</w:t>
                    </w:r>
                  </w:hyperlink>
                  <w:r>
                    <w:t xml:space="preserve">, on Information Technology ("</w:t>
                  </w:r>
                  <w:r>
                    <w:rPr>
                      <w:b/>
                    </w:rPr>
                    <w:t xml:space="preserve">IT Law</w:t>
                  </w:r>
                  <w:r>
                    <w:t xml:space="preserve">")</w:t>
                  </w:r>
                </w:p>
                <w:p>
                  <w:pPr>
                    <w:pStyle w:val="BodyText"/>
                  </w:pPr>
                  <w:pPr>
                    <w:pStyle w:val="ListParagraph"/>
                    <w:numPr>
                      <w:ilvl w:val="0"/>
                      <w:numId w:val="11"/>
                    </w:numPr>
                  </w:pPr>
                  <w:hyperlink w:history="true" r:id="R0d210bc638944bd2">
                    <w:r>
                      <w:rPr>
                        <w:rStyle w:val="Hyperlink"/>
                      </w:rPr>
                      <w:t xml:space="preserve">Decree No. 53/2022/ND-CP, dated 15 August 2022, detailing the implementation of the Law on Cybersecurity</w:t>
                    </w:r>
                  </w:hyperlink>
                  <w:r>
                    <w:t xml:space="preserve"> ("</w:t>
                  </w:r>
                  <w:r>
                    <w:rPr>
                      <w:b/>
                    </w:rPr>
                    <w:t xml:space="preserve">Decree No. 53</w:t>
                  </w:r>
                  <w:r>
                    <w:t xml:space="preserve">")</w:t>
                  </w:r>
                </w:p>
                <w:p>
                  <w:pPr>
                    <w:pStyle w:val="BodyText"/>
                  </w:pPr>
                  <w:pPr>
                    <w:pStyle w:val="ListParagraph"/>
                    <w:numPr>
                      <w:ilvl w:val="0"/>
                      <w:numId w:val="11"/>
                    </w:numPr>
                  </w:pPr>
                  <w:hyperlink w:history="true" r:id="R528e6337251446e2">
                    <w:r>
                      <w:rPr>
                        <w:rStyle w:val="Hyperlink"/>
                      </w:rPr>
                      <w:t xml:space="preserve">Decree No. 91/2020/ND-CP, dated 14 August 2020, on spam messages, spam emails and spam calls</w:t>
                    </w:r>
                  </w:hyperlink>
                  <w:r>
                    <w:t xml:space="preserve"> ("</w:t>
                  </w:r>
                  <w:r>
                    <w:rPr>
                      <w:b/>
                    </w:rPr>
                    <w:t xml:space="preserve">Decree No. 91</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laws and regulations relating to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16 January 2026</w:t>
                  </w:r>
                </w:p>
                <w:p>
                  <w:pPr>
                    <w:pStyle w:val="BodyText"/>
                  </w:pPr>
                  <w:pPr>
                    <w:pStyle w:val="ListParagraph"/>
                    <w:numPr>
                      <w:ilvl w:val="0"/>
                      <w:numId w:val="10"/>
                    </w:numPr>
                  </w:pPr>
                  <w:hyperlink w:history="true" r:id="R9c14228854e949e9">
                    <w:r>
                      <w:rPr>
                        <w:rStyle w:val="Hyperlink"/>
                      </w:rPr>
                      <w:t xml:space="preserve">Law No. 116/2025/QH15, adopted by the National Assembly on 10 December 2025</w:t>
                    </w:r>
                  </w:hyperlink>
                  <w:r>
                    <w:t xml:space="preserve">, on Cybersecurity ("</w:t>
                  </w:r>
                  <w:r>
                    <w:rPr>
                      <w:b/>
                    </w:rPr>
                    <w:t xml:space="preserve">2025 Cybersecurity Law</w:t>
                  </w:r>
                  <w:r>
                    <w:t xml:space="preserve">")</w:t>
                  </w:r>
                </w:p>
                <w:p>
                  <w:pPr>
                    <w:pStyle w:val="BodyText"/>
                  </w:pPr>
                  <w:pPr>
                    <w:pStyle w:val="ListParagraph"/>
                    <w:numPr>
                      <w:ilvl w:val="0"/>
                      <w:numId w:val="10"/>
                    </w:numPr>
                  </w:pPr>
                  <w:hyperlink w:history="true" r:id="Rcb046f287c39445e">
                    <w:r>
                      <w:rPr>
                        <w:rStyle w:val="Hyperlink"/>
                      </w:rPr>
                      <w:t xml:space="preserve">Law No. 86/2015/QH13, adopted by the National Assembly on 19 November 2015</w:t>
                    </w:r>
                  </w:hyperlink>
                  <w:r>
                    <w:t xml:space="preserve">, on Cyber Information Security ("</w:t>
                  </w:r>
                  <w:r>
                    <w:rPr>
                      <w:b/>
                    </w:rPr>
                    <w:t xml:space="preserve">LOCIS</w:t>
                  </w:r>
                  <w:r>
                    <w:t xml:space="preserve">")</w:t>
                  </w:r>
                </w:p>
                <w:p>
                  <w:pPr>
                    <w:pStyle w:val="BodyText"/>
                  </w:pPr>
                  <w:pPr>
                    <w:pStyle w:val="ListParagraph"/>
                    <w:numPr>
                      <w:ilvl w:val="0"/>
                      <w:numId w:val="10"/>
                    </w:numPr>
                  </w:pPr>
                  <w:hyperlink w:history="true" r:id="Rfa63ef536650406e">
                    <w:r>
                      <w:rPr>
                        <w:rStyle w:val="Hyperlink"/>
                      </w:rPr>
                      <w:t xml:space="preserve">Law No. 104/2016/QH13, adopted by the National Assembly on 6 April 2016, on</w:t>
                    </w:r>
                  </w:hyperlink>
                  <w:r>
                    <w:t xml:space="preserve"> Access to Information ("</w:t>
                  </w:r>
                  <w:r>
                    <w:rPr>
                      <w:b/>
                    </w:rPr>
                    <w:t xml:space="preserve">Information Access </w:t>
                  </w:r>
                  <w:r>
                    <w:rPr>
                      <w:b/>
                    </w:rPr>
                    <w:t xml:space="preserve">Law</w:t>
                  </w:r>
                  <w:r>
                    <w:t xml:space="preserve">")</w:t>
                  </w:r>
                </w:p>
                <w:p>
                  <w:pPr>
                    <w:pStyle w:val="BodyText"/>
                  </w:pPr>
                  <w:pPr>
                    <w:pStyle w:val="ListParagraph"/>
                    <w:numPr>
                      <w:ilvl w:val="0"/>
                      <w:numId w:val="10"/>
                    </w:numPr>
                  </w:pPr>
                  <w:hyperlink w:history="true" r:id="R8bb333771ecc4f37">
                    <w:r>
                      <w:rPr>
                        <w:rStyle w:val="Hyperlink"/>
                      </w:rPr>
                      <w:t xml:space="preserve">Law No. 19/2023/QH15, adopted by the National Assembly on 20 June 2023</w:t>
                    </w:r>
                  </w:hyperlink>
                  <w:r>
                    <w:t xml:space="preserve">, on Protection of Consumers' Rights ("</w:t>
                  </w:r>
                  <w:r>
                    <w:rPr>
                      <w:b/>
                    </w:rPr>
                    <w:t xml:space="preserve">Consumer Protection Law</w:t>
                  </w:r>
                  <w:r>
                    <w:t xml:space="preserve">")</w:t>
                  </w:r>
                </w:p>
                <w:p>
                  <w:pPr>
                    <w:pStyle w:val="BodyText"/>
                  </w:pPr>
                  <w:pPr>
                    <w:pStyle w:val="ListParagraph"/>
                    <w:numPr>
                      <w:ilvl w:val="0"/>
                      <w:numId w:val="10"/>
                    </w:numPr>
                  </w:pPr>
                  <w:hyperlink w:history="true" r:id="R2f04f6838fa141db">
                    <w:r>
                      <w:rPr>
                        <w:rStyle w:val="Hyperlink"/>
                      </w:rPr>
                      <w:t xml:space="preserve">Law No. 20/2023/QH15, adopted by the National Assembly on 22 June 2023</w:t>
                    </w:r>
                  </w:hyperlink>
                  <w:r>
                    <w:t xml:space="preserve">, on E-transactions ("</w:t>
                  </w:r>
                  <w:r>
                    <w:rPr>
                      <w:b/>
                    </w:rPr>
                    <w:t xml:space="preserve">E-transactions Law</w:t>
                  </w:r>
                  <w:r>
                    <w:t xml:space="preserve">")</w:t>
                  </w:r>
                </w:p>
                <w:p>
                  <w:pPr>
                    <w:pStyle w:val="BodyText"/>
                  </w:pPr>
                  <w:pPr>
                    <w:pStyle w:val="ListParagraph"/>
                    <w:numPr>
                      <w:ilvl w:val="0"/>
                      <w:numId w:val="10"/>
                    </w:numPr>
                  </w:pPr>
                  <w:hyperlink w:history="true" r:id="Rae515142e7e74046">
                    <w:r>
                      <w:rPr>
                        <w:rStyle w:val="Hyperlink"/>
                      </w:rPr>
                      <w:t xml:space="preserve">Law No. 60/2024/QH15, adopted by the National Assembly on 30 November 2024</w:t>
                    </w:r>
                  </w:hyperlink>
                  <w:r>
                    <w:t xml:space="preserve">, on Data ("</w:t>
                  </w:r>
                  <w:r>
                    <w:rPr>
                      <w:b/>
                    </w:rPr>
                    <w:t xml:space="preserve">Data Law</w:t>
                  </w:r>
                  <w:r>
                    <w:t xml:space="preserve">")</w:t>
                  </w:r>
                </w:p>
                <w:p>
                  <w:pPr>
                    <w:pStyle w:val="BodyText"/>
                  </w:pPr>
                  <w:pPr>
                    <w:pStyle w:val="ListParagraph"/>
                    <w:numPr>
                      <w:ilvl w:val="0"/>
                      <w:numId w:val="10"/>
                    </w:numPr>
                  </w:pPr>
                  <w:hyperlink w:history="true" r:id="R1862e2c49fe6451f">
                    <w:r>
                      <w:rPr>
                        <w:rStyle w:val="Hyperlink"/>
                      </w:rPr>
                      <w:t xml:space="preserve">Decree No. 169/2025/ND-CP, dated 30 June 2025</w:t>
                    </w:r>
                  </w:hyperlink>
                  <w:r>
                    <w:t xml:space="preserve">, regulating scientific, technological and innovative activities and data products and services ("</w:t>
                  </w:r>
                  <w:r>
                    <w:rPr>
                      <w:b/>
                    </w:rPr>
                    <w:t xml:space="preserve">Decree 169</w:t>
                  </w:r>
                  <w:r>
                    <w:t xml:space="preserve">")</w:t>
                  </w:r>
                </w:p>
                <w:p>
                  <w:pPr>
                    <w:pStyle w:val="BodyText"/>
                  </w:pPr>
                  <w:pPr>
                    <w:pStyle w:val="ListParagraph"/>
                    <w:numPr>
                      <w:ilvl w:val="0"/>
                      <w:numId w:val="10"/>
                    </w:numPr>
                  </w:pPr>
                  <w:hyperlink w:history="true" r:id="Ra92cfbab54674322">
                    <w:r>
                      <w:rPr>
                        <w:rStyle w:val="Hyperlink"/>
                      </w:rPr>
                      <w:t xml:space="preserve">Decree No. 165/2025/ND-CP, dated 30 June 2025</w:t>
                    </w:r>
                  </w:hyperlink>
                  <w:r>
                    <w:t xml:space="preserve">, detailing a number of articles and measures to implement the Data Law ("</w:t>
                  </w:r>
                  <w:r>
                    <w:rPr>
                      <w:b/>
                    </w:rPr>
                    <w:t xml:space="preserve">Decree 165</w:t>
                  </w:r>
                  <w:r>
                    <w:t xml:space="preserve">")</w:t>
                  </w:r>
                </w:p>
                <w:p>
                  <w:pPr>
                    <w:pStyle w:val="BodyText"/>
                  </w:pPr>
                  <w:pPr>
                    <w:pStyle w:val="ListParagraph"/>
                    <w:numPr>
                      <w:ilvl w:val="0"/>
                      <w:numId w:val="10"/>
                    </w:numPr>
                  </w:pPr>
                  <w:hyperlink w:history="true" r:id="R5038ea60bce44959">
                    <w:r>
                      <w:rPr>
                        <w:rStyle w:val="Hyperlink"/>
                      </w:rPr>
                      <w:t xml:space="preserve">Decision No. 20/2025/QD-TTg, dated 1 July 2025</w:t>
                    </w:r>
                  </w:hyperlink>
                  <w:r>
                    <w:t xml:space="preserve">, promulgating the lists of important data and core data ("</w:t>
                  </w:r>
                  <w:r>
                    <w:rPr>
                      <w:b/>
                    </w:rPr>
                    <w:t xml:space="preserve">Decision 20</w:t>
                  </w:r>
                  <w:r>
                    <w:t xml:space="preserve">")</w:t>
                  </w:r>
                </w:p>
                <w:p>
                  <w:pPr>
                    <w:pStyle w:val="BodyText"/>
                  </w:pPr>
                  <w:pPr>
                    <w:pStyle w:val="ListParagraph"/>
                    <w:numPr>
                      <w:ilvl w:val="0"/>
                      <w:numId w:val="10"/>
                    </w:numPr>
                  </w:pPr>
                  <w:hyperlink w:history="true" r:id="R248c7fab38f64b00">
                    <w:r>
                      <w:rPr>
                        <w:rStyle w:val="Hyperlink"/>
                      </w:rPr>
                      <w:t xml:space="preserve">Circular No. 10/2022/TT-BNV, dated 19 December 2022</w:t>
                    </w:r>
                  </w:hyperlink>
                  <w:r>
                    <w:t xml:space="preserve">, prescribing document retention periods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Regulators, Remedies and Penalties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potential penalties/remedies for non-compliance with the key data and cybersecurity laws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16 January 2026</w:t>
                  </w:r>
                </w:p>
                <w:p>
                  <w:pPr>
                    <w:pStyle w:val="BodyText"/>
                  </w:pPr>
                  <w:r>
                    <w:rPr>
                      <w:b/>
                    </w:rPr>
                    <w:t xml:space="preserve">Data</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p>
                  <w:pPr>
                    <w:pStyle w:val="BodyText"/>
                  </w:pPr>
                  <w:r>
                    <w:rPr>
                      <w:b/>
                    </w:rPr>
                    <w:t xml:space="preserve">Cyber</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Territorial Scope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territorial reach of the data privacy and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16 January 2026</w:t>
                  </w:r>
                </w:p>
                <w:p>
                  <w:pPr>
                    <w:pStyle w:val="BodyText"/>
                  </w:pPr>
                  <w:r>
                    <w:rPr>
                      <w:b/>
                    </w:rPr>
                    <w:t xml:space="preserve">Data</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w:t>
                  </w:r>
                </w:p>
                <w:p>
                  <w:pPr>
                    <w:pStyle w:val="BodyText"/>
                  </w:pPr>
                  <w:r>
                    <w:rPr>
                      <w:b/>
                    </w:rPr>
                    <w:t xml:space="preserve">Cyber</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w:t>
                  </w:r>
                </w:p>
              </w:sdtContent>
            </w:sdt>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vanban.chinhphu.vn/?pageid=27160&amp;amp;docid=216499&amp;amp;classid=1&amp;amp;orggroupid=1" TargetMode="External" Id="R9c14228854e949e9" /><Relationship Type="http://schemas.openxmlformats.org/officeDocument/2006/relationships/hyperlink" Target="https://vanban.chinhphu.vn/?pageid=27160&amp;amp;docid=183196" TargetMode="External" Id="Rcb046f287c39445e" /><Relationship Type="http://schemas.openxmlformats.org/officeDocument/2006/relationships/hyperlink" Target="https://chinhphu.vn/default.aspx?pageid=27160&amp;amp;docid=184568" TargetMode="External" Id="Rfa63ef536650406e" /><Relationship Type="http://schemas.openxmlformats.org/officeDocument/2006/relationships/hyperlink" Target="https://vanban.chinhphu.vn/?pageid=27160&amp;amp;docid=208363" TargetMode="External" Id="R8bb333771ecc4f37" /><Relationship Type="http://schemas.openxmlformats.org/officeDocument/2006/relationships/hyperlink" Target="https://vanban.chinhphu.vn/?pageid=27160&amp;amp;docid=208421" TargetMode="External" Id="R2f04f6838fa141db" /><Relationship Type="http://schemas.openxmlformats.org/officeDocument/2006/relationships/hyperlink" Target="https://vanban.chinhphu.vn/?pageid=27160&amp;amp;docid=212488&amp;amp;classid=1&amp;amp;orggroupid=1" TargetMode="External" Id="Rae515142e7e74046" /><Relationship Type="http://schemas.openxmlformats.org/officeDocument/2006/relationships/hyperlink" Target="https://vanban.chinhphu.vn/?pageid=27160&amp;amp;docid=214306" TargetMode="External" Id="R1862e2c49fe6451f" /><Relationship Type="http://schemas.openxmlformats.org/officeDocument/2006/relationships/hyperlink" Target="https://vanban.chinhphu.vn/?pageid=27160&amp;amp;docid=214331" TargetMode="External" Id="Ra92cfbab54674322" /><Relationship Type="http://schemas.openxmlformats.org/officeDocument/2006/relationships/hyperlink" Target="https://vanban.chinhphu.vn/?pageid=27160&amp;amp;docid=214354" TargetMode="External" Id="R5038ea60bce44959" /><Relationship Type="http://schemas.openxmlformats.org/officeDocument/2006/relationships/hyperlink" Target="https://congbao.chinhphu.vn/van-ban/thong-tu-so-10-2022-tt-bnv-38385.htm" TargetMode="External" Id="R248c7fab38f64b00" /><Relationship Type="http://schemas.openxmlformats.org/officeDocument/2006/relationships/hyperlink" Target="https://vanban.chinhphu.vn/?pageid=27160&amp;amp;docid=216499&amp;amp;classid=1&amp;amp;orggroupid=1" TargetMode="External" Id="R56a2a4f52818423e" /><Relationship Type="http://schemas.openxmlformats.org/officeDocument/2006/relationships/hyperlink" Target="https://vanban.chinhphu.vn/?pageid=27160&amp;amp;docid=206114" TargetMode="External" Id="R073804dee5ba440a" /><Relationship Type="http://schemas.openxmlformats.org/officeDocument/2006/relationships/hyperlink" Target="https://vanban.chinhphu.vn/?pageid=27160&amp;amp;docid=29137" TargetMode="External" Id="R74e6b8d4ec9c405d" /><Relationship Type="http://schemas.openxmlformats.org/officeDocument/2006/relationships/hyperlink" Target="https://vanban.chinhphu.vn/?pageid=27160&amp;amp;docid=206381" TargetMode="External" Id="R0d210bc638944bd2" /><Relationship Type="http://schemas.openxmlformats.org/officeDocument/2006/relationships/hyperlink" Target="https://vanban.chinhphu.vn/default.aspx?pageid=27160&amp;amp;docid=200773" TargetMode="External" Id="R528e6337251446e2" /><Relationship Type="http://schemas.openxmlformats.org/officeDocument/2006/relationships/hyperlink" Target="https://vanban.chinhphu.vn/default.aspx?pageid=27160&amp;amp;docid=183188" TargetMode="External" Id="R4c4bca0f4a6a4afa" /><Relationship Type="http://schemas.openxmlformats.org/officeDocument/2006/relationships/hyperlink" Target="https://datafiles.chinhphu.vn/cpp/files/vbpq/2025/9/135-vbhn-vpqh.pdf" TargetMode="External" Id="R6e4e69a11bbd487b" /><Relationship Type="http://schemas.openxmlformats.org/officeDocument/2006/relationships/hyperlink" Target="https://vanban.chinhphu.vn/?pageid=27160&amp;amp;docid=198540" TargetMode="External" Id="R2e81af625c0c45c6" /><Relationship Type="http://schemas.openxmlformats.org/officeDocument/2006/relationships/hyperlink" Target="https://chinhphu.vn/?pageid=27160&amp;amp;docid=214590&amp;amp;classid=1&amp;amp;typegroupid=3" TargetMode="External" Id="Ra53a3affc2be42a8" /><Relationship Type="http://schemas.openxmlformats.org/officeDocument/2006/relationships/hyperlink" Target="https://vanban.chinhphu.vn/?pageid=27160&amp;amp;docid=216499&amp;amp;classid=1&amp;amp;orggroupid=1" TargetMode="External" Id="R61b0b07b7cda40d8" /><Relationship Type="http://schemas.openxmlformats.org/officeDocument/2006/relationships/hyperlink" Target="https://vanban.chinhphu.vn/?pageid=27160&amp;amp;docid=29137" TargetMode="External" Id="Rdc62bbda35a5441e" /><Relationship Type="http://schemas.openxmlformats.org/officeDocument/2006/relationships/hyperlink" Target="https://vanban.chinhphu.vn/?pageid=27160&amp;amp;docid=183196" TargetMode="External" Id="R7822a0859dd143dc" /><Relationship Type="http://schemas.openxmlformats.org/officeDocument/2006/relationships/hyperlink" Target="https://vanban.chinhphu.vn/default.aspx?pageid=27160&amp;amp;docid=184566" TargetMode="External" Id="R8366e2e27ad24245" /><Relationship Type="http://schemas.openxmlformats.org/officeDocument/2006/relationships/hyperlink" Target="https://vanban.chinhphu.vn/?pageid=27160&amp;amp;docid=206114" TargetMode="External" Id="Rb4cfe79c06c04bb4" /><Relationship Type="http://schemas.openxmlformats.org/officeDocument/2006/relationships/hyperlink" Target="https://vanban.chinhphu.vn/?pageid=27160&amp;amp;docid=208363" TargetMode="External" Id="R0a5887e9b8a9438f" /><Relationship Type="http://schemas.openxmlformats.org/officeDocument/2006/relationships/hyperlink" Target="https://vanban.chinhphu.vn/?pageid=27160&amp;amp;docid=216387" TargetMode="External" Id="R8f21d5968ebb42cc" /><Relationship Type="http://schemas.openxmlformats.org/officeDocument/2006/relationships/hyperlink" Target="https://vanban.chinhphu.vn/default.aspx?pageid=27160&amp;amp;docid=167457" TargetMode="External" Id="Rb52b2eeeb7004239" /><Relationship Type="http://schemas.openxmlformats.org/officeDocument/2006/relationships/hyperlink" Target="https://vbpl.vn/TW/Pages/vbpq-toanvan.aspx?ItemID=150735&amp;amp;amp;Keyword=85/2021/ND-CP" TargetMode="External" Id="Rb0cae18433954a93" /><Relationship Type="http://schemas.openxmlformats.org/officeDocument/2006/relationships/hyperlink" Target="https://vanban.chinhphu.vn/?pageid=27160&amp;amp;docid=199053" TargetMode="External" Id="Rc040b22c371547da" /><Relationship Type="http://schemas.openxmlformats.org/officeDocument/2006/relationships/hyperlink" Target="https://vanban.chinhphu.vn/?pageid=27160&amp;amp;docid=205256" TargetMode="External" Id="R7c4f9c5c152c4570" /><Relationship Type="http://schemas.openxmlformats.org/officeDocument/2006/relationships/hyperlink" Target="https://vbpl.vn/TW/Pages/vbpq-van-ban-goc.aspx?ItemID=143897&amp;amp;amp;Keyword=91/2020/ND-CP" TargetMode="External" Id="R0238a11caa2f4b79" /><Relationship Type="http://schemas.openxmlformats.org/officeDocument/2006/relationships/hyperlink" Target="https://vanban.chinhphu.vn/?pageid=27160&amp;amp;docid=211654" TargetMode="External" Id="Rd4e4201e778e417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