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Poland</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local authorities of the relevant communes have authority over land development and environmental regulation.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Environmental Protection Law governs the use and occupation of real estate.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Zoning plan or site permit, if there is no zoning plan for the area being developed</w:t>
              </w:r>
            </w:p>
            <w:p>
              <w:pPr>
                <w:pStyle w:val="BodyText"/>
              </w:pPr>
              <w:pPr>
                <w:pStyle w:val="ListParagraph"/>
                <w:numPr>
                  <w:ilvl w:val="0"/>
                  <w:numId w:val="9"/>
                </w:numPr>
              </w:pPr>
              <w:r>
                <w:t xml:space="preserve">Building permit</w:t>
              </w:r>
            </w:p>
            <w:p>
              <w:pPr>
                <w:pStyle w:val="BodyText"/>
              </w:pPr>
              <w:pPr>
                <w:pStyle w:val="ListParagraph"/>
                <w:numPr>
                  <w:ilvl w:val="0"/>
                  <w:numId w:val="9"/>
                </w:numPr>
              </w:pPr>
              <w:r>
                <w:t xml:space="preserve">Occupancy permit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Generally, an environmental cleanup may be required if the activities of the owner or occupier have a negative impact on the environment.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Building Law and the Technical Conditions for Buildings Law provide the parameters for the energy performance of new buildings as well as buildings that are being renovated.</w:t>
              </w:r>
            </w:p>
            <w:p>
              <w:pPr>
                <w:pStyle w:val="BodyText"/>
              </w:pPr>
              <w:r>
                <w:t xml:space="preserve">Currently, under the Building Law, all new and old buildings that are subject to a sale transaction must have an energy performance certificate.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if an existing building is being restored, the building design needs to comply with the energy performance requirements of the new buildings.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