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Sustainable Buildings Guide - Bahrain</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Select a topic from the menu and explore the questions within.</w:t>
          </w:r>
        </w:p>
        <w:p>
          <w:pPr>
            <w:pStyle w:val="BodyText"/>
          </w:pPr>
          <w:r>
            <w:rPr>
              <w:i/>
            </w:rPr>
            <w:t xml:space="preserve">This chapter was last reviewed in May 2024.</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Authors</w:t>
          </w:r>
        </w:p>
        <w:bookmarkStart w:name="_Toc42606705" w:displacedByCustomXml="next" w:id="1"/>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Green Certification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nationally adopted and recognized form of certification for buildings? What is it and is it mandatory for all new buildings and refurbished buildings?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government has introduced the Estidama Sustainable Building Rating System, which provides guidelines and standards for developers to achieve green building certification. This rating system evaluates various aspects of a building's design, construction, and operation, such as energy efficiency, water conservation, indoor environmental quality, and waste management.</w:t>
                  </w:r>
                </w:p>
                <w:p>
                  <w:pPr>
                    <w:pStyle w:val="BodyText"/>
                  </w:pPr>
                  <w:r>
                    <w:t xml:space="preserve">Moreover, Bahrain has invested in research and development to further advance green building technologies and methods. The country has established partnerships with international institutions and experts to exchange knowledge and expertise in sustainable design and construction. This collaborative approach has not only benefited Bahrain but has also contributed to the global green building movement.</w:t>
                  </w:r>
                </w:p>
                <w:p>
                  <w:pPr>
                    <w:pStyle w:val="BodyText"/>
                  </w:pPr>
                  <w:r>
                    <w:t xml:space="preserve">Bahrain actively encourages developers to pursue Leadership in Energy and Environmental Design (LEED) certification, resulting in several buildings achieving LEED status. LEED certification is an internationally recognized green building rating system.</w:t>
                  </w:r>
                </w:p>
                <w:p>
                  <w:pPr>
                    <w:pStyle w:val="BodyText"/>
                  </w:pPr>
                  <w:r>
                    <w:rPr>
                      <w:b/>
                    </w:rPr>
                    <w:t xml:space="preserve">Green Building Manual (Law 212, 2019)</w:t>
                  </w:r>
                </w:p>
                <w:p>
                  <w:pPr>
                    <w:pStyle w:val="BodyText"/>
                  </w:pPr>
                  <w:r>
                    <w:t xml:space="preserve">A building manual was developed in 2019 to help create a more sustainable urban environment by extending the ability of Bahrain's infrastructure to meet the needs of future development. The manual serves as a guide for developers, owners, operators, designers or any parties involved in construction to work towards the improvement of building performance in Bahrain. This is done by reducing the consumption of energy, water and materials, coupled with reduced greenhouse house (GHG) emissions, improving public health, safety and general welfare, and by enhancing the planning, design, construction and operation of buildings.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Energy Performance Certificates and Minimum Energy Standards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mandatory form of energy performance certification? When does it apply and are there any prescribed minimum standards?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mandatory form of energy performance certification in Bahrain, but there are a number of initiatives that have been introduced by the government.</w:t>
                  </w:r>
                </w:p>
                <w:p>
                  <w:pPr>
                    <w:pStyle w:val="BodyText"/>
                  </w:pPr>
                  <w:r>
                    <w:t xml:space="preserve">The government of Bahrain has taken a number of critical steps to shift the country towards more efficient consumption of energy. It has implemented electricity and transport subsidy reforms, and introduced important regulations, such as minimum energy performance standards for air conditioners and lighting products.</w:t>
                  </w:r>
                </w:p>
                <w:p>
                  <w:pPr>
                    <w:pStyle w:val="BodyText"/>
                  </w:pPr>
                  <w:r>
                    <w:t xml:space="preserve">Around 60% and 55% of the residential sector's and commercial sector's annual electricity use, respectively, is related to air-conditioning. To improve the efficiency of AC units available for retail, the government enacted a Minimum Energy Performance Standard (MEPS) and energy efficiency labeling of small AC units (Ministerial Order No. 70/2015).</w:t>
                  </w:r>
                </w:p>
                <w:p>
                  <w:pPr>
                    <w:pStyle w:val="BodyText"/>
                  </w:pPr>
                  <w:r>
                    <w:t xml:space="preserve">Regarding lighting, two regulations are in force that effectively ban the use of incandescent lamps in Bahrain: Cabinet Order. No. 6-14/2013 was enacted and implemented in 2014 on the minimum efficiency of household lamps; and a regulation for nondirectional household lamps was enacted (Ministerial Order No. 3/2015) to facilitate the phasing out of incandescent lamps.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Incentives for Green Retrofit</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government-funded or sponsored schemes for improving the energy efficiency of existing buildings and, broadly, how do they work?</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Bahrain, through the Electricity and Water Authority (EWA), provides support for renewable energy projects. It also offers a financing program through banks to enable individuals and investors to start renewable energy projects.</w:t>
                  </w:r>
                </w:p>
                <w:p>
                  <w:pPr>
                    <w:pStyle w:val="BodyText"/>
                  </w:pPr>
                  <w:r>
                    <w:t xml:space="preserve">The solar energy project at the Medical University of Bahrain has benefited from the support provided by the government for renewable energy projects, and the project produces 65% of the annual electrical energy needed by the university.</w:t>
                  </w:r>
                </w:p>
                <w:p>
                  <w:pPr>
                    <w:pStyle w:val="BodyText"/>
                  </w:pPr>
                  <w:r>
                    <w:t xml:space="preserve">Tamkeen, a state-run entity that was set up to support the private sector, also provides a financing plan to enable institutions wishing to financing for installation to generate energy.</w:t>
                  </w:r>
                </w:p>
                <w:p>
                  <w:pPr>
                    <w:pStyle w:val="BodyText"/>
                  </w:pPr>
                  <w:r>
                    <w:t xml:space="preserve">Other relevant initiatives and projects in Bahrain include the following:</w:t>
                  </w:r>
                </w:p>
                <w:p>
                  <w:pPr>
                    <w:pStyle w:val="BodyText"/>
                  </w:pPr>
                  <w:pPr>
                    <w:pStyle w:val="ListParagraph"/>
                    <w:numPr>
                      <w:ilvl w:val="0"/>
                      <w:numId w:val="10"/>
                    </w:numPr>
                  </w:pPr>
                  <w:r>
                    <w:t xml:space="preserve">Installing solar energy systems on the roofs of eight public schools</w:t>
                  </w:r>
                </w:p>
                <w:p>
                  <w:pPr>
                    <w:pStyle w:val="BodyText"/>
                  </w:pPr>
                  <w:pPr>
                    <w:pStyle w:val="ListParagraph"/>
                    <w:numPr>
                      <w:ilvl w:val="0"/>
                      <w:numId w:val="10"/>
                    </w:numPr>
                  </w:pPr>
                  <w:r>
                    <w:t xml:space="preserve">Developing a national strategy to integrate electric vehicles into the mobility system in Bahrain</w:t>
                  </w:r>
                </w:p>
                <w:p>
                  <w:pPr>
                    <w:pStyle w:val="BodyText"/>
                  </w:pPr>
                  <w:pPr>
                    <w:pStyle w:val="ListParagraph"/>
                    <w:numPr>
                      <w:ilvl w:val="0"/>
                      <w:numId w:val="10"/>
                    </w:numPr>
                  </w:pPr>
                  <w:r>
                    <w:t xml:space="preserve">Installing solar energy systems at the Bahrain International Circuit</w:t>
                  </w:r>
                </w:p>
                <w:p>
                  <w:pPr>
                    <w:pStyle w:val="BodyText"/>
                  </w:pPr>
                  <w:pPr>
                    <w:pStyle w:val="ListParagraph"/>
                    <w:numPr>
                      <w:ilvl w:val="0"/>
                      <w:numId w:val="10"/>
                    </w:numPr>
                  </w:pPr>
                  <w:r>
                    <w:t xml:space="preserve">Relying on solar energy for lighting parks, coasts and stadiums</w:t>
                  </w:r>
                </w:p>
                <w:p>
                  <w:pPr>
                    <w:pStyle w:val="BodyText"/>
                  </w:pPr>
                  <w:pPr>
                    <w:pStyle w:val="ListParagraph"/>
                    <w:numPr>
                      <w:ilvl w:val="0"/>
                      <w:numId w:val="10"/>
                    </w:numPr>
                  </w:pPr>
                  <w:r>
                    <w:t xml:space="preserve">Installing solar energy systems on the fourth bridge to be built to link Muharraq Island with Manama</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CO2 and Energy Targets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national targets for CO2 reduction and/or energy use reduction from buildings? If there are, are there any exclusions?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National Energy Efficiency Action Plan (NEEAP) was published in 2017, setting out various initiatives to improve national energy efficiency. The plan identifies 22 initiatives across all sectors to achieve a national target of 6%. The target is set as a reduction of energy consumption in the year 2025, expressed as a percentage of the average final energy consumption during the baseline period (2009 – 2013). The plan represents the implementation of Bahrain's regional and international commitments under the Paris Agreement, the United Nations Sustainable Development Goals and the League of Arab States' Guidelines on Energy Efficiency.</w:t>
                  </w:r>
                </w:p>
                <w:p>
                  <w:pPr>
                    <w:pStyle w:val="BodyText"/>
                  </w:pPr>
                  <w:r>
                    <w:t xml:space="preserve">In relation to long-term targets, in late 2023, Bahrain unveiled its National Energy Strategy: a clear, credible and responsible pathway to reaching the climate targets that Bahrain pledged to achieve at COP26, namely a 30% reduction in emissions by 2035 on the road to net-zero emissions by 2060. The strategy is rooted in the twin objectives of decarbonizing Bahrain's economy while ensuring reliable and affordable access to the energy Bahrain needs to sustain and, indeed, accelerate its growth.</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Renewable Energy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regulations requiring a percentage of energy consumption to come from renewable sources?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Bahrain has started implementing its National Energy Transition Plan, which aims to increase renewable energy resources' share in Bahrain to 5% of its total electricity generation by 2025, and advancing further to 20% by 2035.</w:t>
                  </w:r>
                </w:p>
                <w:p>
                  <w:pPr>
                    <w:pStyle w:val="BodyText"/>
                  </w:pPr>
                  <w:r>
                    <w:t xml:space="preserve">As per Ministerial Resolution No. 2 of 2017 regarding the connections of renewable energy resources to the distribution network, the EWA has sought to simplify the connection process and has set out procedures to facilitate the integration of renewable energy resources into the EWA's electricity network (through the latter issuance of Resolution No. (1) of 2019, amending Article No. (8), of Resolution No. (2) of 2017). So far, the EWA has been successful in connecting 38 megawatts of electric power into its electricity distribution network, and over 150 megawatts are expected to be connected by 2026.</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Regulation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other national regulatory measures are there, such as taxes on energy consumption and/or tax reliefs on energy-saving measures, that can encourage more efficient use of energy in buildings?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currently no specific taxes on energy consumption.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Financing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public or private “green” financing initiatives for sustainable real estate projects?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various efforts and initiatives to promote green financing between the public and private sector for sustainable real estate efforts. These include the Central Bank of Bahrain's recent introduction of ESG reporting requirements and initiatives by the Bahrain Association of Banks, Bahrain Bourse and Tamkeen, among others. Additionally, a number of banks in Bahrain offer sustainable finance loans. For example, the Bank of Bahrain and Kuwait offers  a special loan facility to business owners that aim to switch partially or entirely from conventional energy sources to renewable energy sources. This financing comes with special benefits, including faster approvals, competitive interest rates and flexible repayment terms.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Planning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national or local/state government able to mandate green initiatives via the planning/zoning regime (e.g., district heating systems on large developments)?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zoning regulations can regulate green initiatives. These currently include a mandatory green building code that has been implemented and is required to be followed under Benayat, Bahrain's building permit portal. Current zoning regulations also consider various land classifications, which include garden and agricultural lands and "green-belt" zones, which are zones that are intended only for agricultural purposes and the protection of the surrounding environment. Planning requirements also include pedestrian spaces, efficient public transportation systems, conservation of natural resources, and the like.</w:t>
                  </w:r>
                </w:p>
                <w:p>
                  <w:pPr>
                    <w:pStyle w:val="BodyText"/>
                  </w:pPr>
                  <w:r>
                    <w:t xml:space="preserve">There is currently no regulatory mandated use of district cooling or similar more sustainable utility solutions, but these are prevalent and growing in the market, and can be found in most new large developments. The green building code provides minimum requirements in relation to new district-cooling plans, but does not mandate the adoption of district cooling.</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Green Leases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green leases or green lease provisions mandatory or optional? If mandatory, to whom do they apply? If optional, is there significant take up?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Bahrain, green lease provisions are not mandatory. Despite there being no specific regulations requiring green leases, many developers and property owners are voluntarily adopting environmentally friendly practices.</w:t>
                  </w:r>
                </w:p>
              </w:sdtContent>
            </w:sdt>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https://resourcehub.bakermckenzie.com/en/resources/global-sustainable-buildings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