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Corporate Real Estate Guide - Italy</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June 2023.</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Authors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Real Estate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included in the term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term "real estate" includes the following:</w:t>
                  </w:r>
                </w:p>
                <w:p>
                  <w:pPr>
                    <w:pStyle w:val="BodyText"/>
                  </w:pPr>
                  <w:pPr>
                    <w:pStyle w:val="ListParagraph"/>
                    <w:numPr>
                      <w:ilvl w:val="0"/>
                      <w:numId w:val="27"/>
                    </w:numPr>
                  </w:pPr>
                  <w:r>
                    <w:t xml:space="preserve">Land (soil and subsoil)</w:t>
                  </w:r>
                </w:p>
                <w:p>
                  <w:pPr>
                    <w:pStyle w:val="BodyText"/>
                  </w:pPr>
                  <w:pPr>
                    <w:pStyle w:val="ListParagraph"/>
                    <w:numPr>
                      <w:ilvl w:val="0"/>
                      <w:numId w:val="27"/>
                    </w:numPr>
                  </w:pPr>
                  <w:r>
                    <w:t xml:space="preserve">Any buildings or non-movable artefacts built above or under the soil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laws govern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Real estate transactions are mainly governed by the relevant provisions of the Italian Civil Code and are increasingly governed by special laws, which include the following:</w:t>
                  </w:r>
                </w:p>
                <w:p>
                  <w:pPr>
                    <w:pStyle w:val="BodyText"/>
                  </w:pPr>
                  <w:pPr>
                    <w:pStyle w:val="ListParagraph"/>
                    <w:numPr>
                      <w:ilvl w:val="0"/>
                      <w:numId w:val="26"/>
                    </w:numPr>
                  </w:pPr>
                  <w:r>
                    <w:t xml:space="preserve">Law No. 392/1978, as amended, and Law No. 431/1998, as amended, which, respectively deal with non-residential leases and residential leases</w:t>
                  </w:r>
                </w:p>
                <w:p>
                  <w:pPr>
                    <w:pStyle w:val="BodyText"/>
                  </w:pPr>
                  <w:pPr>
                    <w:pStyle w:val="ListParagraph"/>
                    <w:numPr>
                      <w:ilvl w:val="0"/>
                      <w:numId w:val="26"/>
                    </w:numPr>
                  </w:pPr>
                  <w:r>
                    <w:t xml:space="preserve">Legislative Decree No. 42/2004, as amended, the so-called Cultural Heritage and Landscape Code (Codice dei Beni Culturali e del Paesaggio)</w:t>
                  </w:r>
                </w:p>
                <w:p>
                  <w:pPr>
                    <w:pStyle w:val="BodyText"/>
                  </w:pPr>
                  <w:pPr>
                    <w:pStyle w:val="ListParagraph"/>
                    <w:numPr>
                      <w:ilvl w:val="0"/>
                      <w:numId w:val="26"/>
                    </w:numPr>
                  </w:pPr>
                  <w:r>
                    <w:t xml:space="preserve">Law No. 52/1985, as amended, on the registration with the public records</w:t>
                  </w:r>
                </w:p>
                <w:p>
                  <w:pPr>
                    <w:pStyle w:val="BodyText"/>
                  </w:pPr>
                  <w:pPr>
                    <w:pStyle w:val="ListParagraph"/>
                    <w:numPr>
                      <w:ilvl w:val="0"/>
                      <w:numId w:val="26"/>
                    </w:numPr>
                  </w:pPr>
                  <w:r>
                    <w:t xml:space="preserve">Regional laws containing particular rules applicable to properties located in those regions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land registration system?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Italian real property registration system is composed of the following:</w:t>
                  </w:r>
                </w:p>
                <w:p>
                  <w:pPr>
                    <w:pStyle w:val="BodyText"/>
                  </w:pPr>
                  <w:pPr>
                    <w:pStyle w:val="ListParagraph"/>
                    <w:numPr>
                      <w:ilvl w:val="0"/>
                      <w:numId w:val="24"/>
                    </w:numPr>
                  </w:pPr>
                  <w:r>
                    <w:t xml:space="preserve">Real estate registries (Registri immobiliari)</w:t>
                  </w:r>
                </w:p>
                <w:p>
                  <w:pPr>
                    <w:pStyle w:val="BodyText"/>
                  </w:pPr>
                  <w:pPr>
                    <w:ind w:left="375"/>
                  </w:pPr>
                  <w:r>
                    <w:t xml:space="preserve">Registration with the real estate registries is principally done to disclose a right or interest over real estate to make it enforceable against third parties. Where there are multiple registrations, the subject who registered its title first is preferred over others, regardless of whether the right or interest is acquired at a later date. The absence of registration does not affect the validity of such right or interest, with some exceptions (such as mortgages or properties located in certain regions in north-eastern Italy for which the registration is a requirement of validity). The relevant agreement or deed must be executed before a notary public for the purpose of registration with the real estate registries.</w:t>
                  </w:r>
                </w:p>
                <w:p>
                  <w:pPr>
                    <w:pStyle w:val="BodyText"/>
                  </w:pPr>
                  <w:pPr>
                    <w:pStyle w:val="ListParagraph"/>
                    <w:numPr>
                      <w:ilvl w:val="0"/>
                      <w:numId w:val="25"/>
                    </w:numPr>
                  </w:pPr>
                  <w:r>
                    <w:t xml:space="preserve">Cadastre (Catasto)</w:t>
                  </w:r>
                </w:p>
                <w:p>
                  <w:pPr>
                    <w:pStyle w:val="BodyText"/>
                  </w:pPr>
                  <w:pPr>
                    <w:ind w:left="375"/>
                  </w:pPr>
                  <w:r>
                    <w:t xml:space="preserve">Registration with the Cadastre is primarily for tax purposes and allows the determination of the taxable income of a property and contains other useful information such as floorplans and any variations in the cadastral identification numbers.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authority manages the registration of titles?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Title registration is managed by the real estate registries, which are administered by the competent public offices (known as "Conservatorie").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rights over real property are required to be registered?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creation or transfer (including amendment) of the following real rights or interests in rights regarding real estate can be registered:</w:t>
                  </w:r>
                </w:p>
                <w:p>
                  <w:pPr>
                    <w:pStyle w:val="BodyText"/>
                  </w:pPr>
                  <w:pPr>
                    <w:pStyle w:val="ListParagraph"/>
                    <w:numPr>
                      <w:ilvl w:val="0"/>
                      <w:numId w:val="23"/>
                    </w:numPr>
                  </w:pPr>
                  <w:r>
                    <w:t xml:space="preserve">Ownership or co-ownership (including of condominiums)</w:t>
                  </w:r>
                </w:p>
                <w:p>
                  <w:pPr>
                    <w:pStyle w:val="BodyText"/>
                  </w:pPr>
                  <w:pPr>
                    <w:pStyle w:val="ListParagraph"/>
                    <w:numPr>
                      <w:ilvl w:val="0"/>
                      <w:numId w:val="23"/>
                    </w:numPr>
                  </w:pPr>
                  <w:r>
                    <w:t xml:space="preserve">Non-absolute in rem rights (surface, usufruct, emphyteusis, use and housing rights)</w:t>
                  </w:r>
                </w:p>
                <w:p>
                  <w:pPr>
                    <w:pStyle w:val="BodyText"/>
                  </w:pPr>
                  <w:pPr>
                    <w:pStyle w:val="ListParagraph"/>
                    <w:numPr>
                      <w:ilvl w:val="0"/>
                      <w:numId w:val="23"/>
                    </w:numPr>
                  </w:pPr>
                  <w:r>
                    <w:t xml:space="preserve">Easements, constraints or real burdens</w:t>
                  </w:r>
                </w:p>
                <w:p>
                  <w:pPr>
                    <w:pStyle w:val="BodyText"/>
                  </w:pPr>
                  <w:pPr>
                    <w:pStyle w:val="ListParagraph"/>
                    <w:numPr>
                      <w:ilvl w:val="0"/>
                      <w:numId w:val="23"/>
                    </w:numPr>
                  </w:pPr>
                  <w:r>
                    <w:t xml:space="preserve">Mortgages </w:t>
                  </w:r>
                </w:p>
                <w:p>
                  <w:pPr>
                    <w:pStyle w:val="BodyText"/>
                  </w:pPr>
                  <w:pPr>
                    <w:pStyle w:val="ListParagraph"/>
                    <w:numPr>
                      <w:ilvl w:val="0"/>
                      <w:numId w:val="23"/>
                    </w:numPr>
                  </w:pPr>
                  <w:r>
                    <w:t xml:space="preserve">Privileges</w:t>
                  </w:r>
                </w:p>
                <w:p>
                  <w:pPr>
                    <w:pStyle w:val="BodyText"/>
                  </w:pPr>
                  <w:pPr>
                    <w:pStyle w:val="ListParagraph"/>
                    <w:numPr>
                      <w:ilvl w:val="0"/>
                      <w:numId w:val="23"/>
                    </w:numPr>
                  </w:pPr>
                  <w:r>
                    <w:t xml:space="preserve">Preliminary sale and purchase agreement</w:t>
                  </w:r>
                </w:p>
                <w:p>
                  <w:pPr>
                    <w:pStyle w:val="BodyText"/>
                  </w:pPr>
                  <w:pPr>
                    <w:pStyle w:val="ListParagraph"/>
                    <w:numPr>
                      <w:ilvl w:val="0"/>
                      <w:numId w:val="23"/>
                    </w:numPr>
                  </w:pPr>
                  <w:r>
                    <w:t xml:space="preserve">Leases for an initial duration longer than nine years </w:t>
                  </w:r>
                </w:p>
                <w:p>
                  <w:pPr>
                    <w:pStyle w:val="BodyText"/>
                  </w:pPr>
                  <w:r>
                    <w:t xml:space="preserve">For details on the purposes of registration, please refer to response to “What is the land registration system?”.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documents can landowners use to prove ownership over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Ownership title may be proven, with a very high level of certainty, through the production of an updated 20-year notarial report (</w:t>
                  </w:r>
                  <w:r>
                    <w:t xml:space="preserve">relazione notarile ventennale</w:t>
                  </w:r>
                  <w:r>
                    <w:t xml:space="preserve">). This notarial report is an official declaration on recorded titles and encumbrances over a given real property issued by a notary public based on the outcome of a search carried out by cross-referencing data and documentation recorded within the real estate registries, the companies' registries (if there are companies involved) and the Cadastre registries (an activity which, in Italy, is a prerogative of notaries public).</w:t>
                  </w:r>
                </w:p>
                <w:p>
                  <w:pPr>
                    <w:pStyle w:val="BodyText"/>
                  </w:pPr>
                  <w:r>
                    <w:t xml:space="preserve">In Italy, Cadastre's excerpts or title deeds do not, as such, constitute conclusive evidence of ownership title.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title search be conducted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 search can be conducted by notaries public or, if a notarial report is not required, by service providers with access to electronic public registries. </w:t>
                  </w:r>
                </w:p>
                <w:p>
                  <w:pPr>
                    <w:pStyle w:val="BodyText"/>
                  </w:pPr>
                  <w:r>
                    <w:t xml:space="preserve">However, some data or documentation may not be retrievable online if it was recorded before the relevant real estate register implemented a digitalization process.</w:t>
                  </w:r>
                </w:p>
                <w:p>
                  <w:pPr>
                    <w:pStyle w:val="BodyText"/>
                  </w:pPr>
                  <w:r>
                    <w:t xml:space="preserve">Small fees are generally charged to obtain extracts from the public records (net of any notarial or service providers' costs).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foreigners own real property? Are there nationality restrictions on land ownership?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Generally, there are no restrictions on foreign nationals to own real property in Italy, with very few exceptions where authorizations are to be obtained and where administrative declarations must be made.</w:t>
                  </w:r>
                </w:p>
                <w:p>
                  <w:pPr>
                    <w:pStyle w:val="BodyText"/>
                  </w:pPr>
                  <w:pPr>
                    <w:jc w:val="both"/>
                  </w:pPr>
                  <w:r>
                    <w:t xml:space="preserve">However, non-European Union individuals or entities of a country that does not grant reciprocity (i.e.</w:t>
                  </w:r>
                  <w:r>
                    <w:rPr>
                      <w:i/>
                    </w:rPr>
                    <w:t xml:space="preserve">,</w:t>
                  </w:r>
                  <w:r>
                    <w:t xml:space="preserve"> does not allow Italian individuals or entities to purchase properties in its territory) cannot own real estate in Italy, unless otherwise provided by international treaties to which Italy is a party.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the government expropriate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real property can be expropriated by the government and other public authorities for public needs, and appropriate compensation must be paid.</w:t>
                  </w:r>
                </w:p>
                <w:p>
                  <w:pPr>
                    <w:pStyle w:val="BodyText"/>
                  </w:pPr>
                  <w:r>
                    <w:t xml:space="preserve">Furthermore, public authorities may benefit from a right of pre-emption to purchase certain real estate property.</w:t>
                  </w:r>
                  <w: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can real estate be held?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spacing w:after="0"/>
                  </w:pPr>
                  <w:r>
                    <w:t xml:space="preserve">Real estate properties are usually held through one of the following rights or titles:</w:t>
                  </w:r>
                </w:p>
                <w:p>
                  <w:pPr>
                    <w:pStyle w:val="BodyText"/>
                  </w:pPr>
                  <w:pPr>
                    <w:pStyle w:val="ListParagraph"/>
                    <w:numPr>
                      <w:ilvl w:val="0"/>
                      <w:numId w:val="22"/>
                    </w:numPr>
                  </w:pPr>
                  <w:r>
                    <w:t xml:space="preserve">Ownership or co-ownership (including condominium)</w:t>
                  </w:r>
                </w:p>
                <w:p>
                  <w:pPr>
                    <w:pStyle w:val="BodyText"/>
                  </w:pPr>
                  <w:pPr>
                    <w:pStyle w:val="ListParagraph"/>
                    <w:numPr>
                      <w:ilvl w:val="0"/>
                      <w:numId w:val="22"/>
                    </w:numPr>
                  </w:pPr>
                  <w:r>
                    <w:t xml:space="preserve">Non-absolute in rem rights (surface, usufruct, emphyteusis, use and housing rights)</w:t>
                  </w:r>
                </w:p>
                <w:p>
                  <w:pPr>
                    <w:pStyle w:val="BodyText"/>
                  </w:pPr>
                  <w:pPr>
                    <w:pStyle w:val="ListParagraph"/>
                    <w:numPr>
                      <w:ilvl w:val="0"/>
                      <w:numId w:val="22"/>
                    </w:numPr>
                  </w:pPr>
                  <w:r>
                    <w:t xml:space="preserve">Lease title </w:t>
                  </w:r>
                </w:p>
                <w:p>
                  <w:pPr>
                    <w:pStyle w:val="BodyText"/>
                  </w:pPr>
                  <w:pPr>
                    <w:pStyle w:val="ListParagraph"/>
                    <w:numPr>
                      <w:ilvl w:val="0"/>
                      <w:numId w:val="22"/>
                    </w:numPr>
                  </w:pPr>
                  <w:r>
                    <w:t xml:space="preserve">Bailment title (comodato)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structures used in investing in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Investments in real estate are usually made via direct real property transfer or through special purpose vehicles or funds.</w:t>
                  </w:r>
                </w:p>
                <w:p>
                  <w:pPr>
                    <w:pStyle w:val="BodyText"/>
                  </w:pPr>
                  <w:r>
                    <w:t xml:space="preserve">The choice of the appropriate structure will depend on the nature of the particular property and of the parties involved in the transaction.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are real estate transactions usually funded?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Most real estate financing is arranged through institutional lenders such as banks.</w:t>
                  </w:r>
                </w:p>
                <w:p>
                  <w:pPr>
                    <w:pStyle w:val="BodyText"/>
                  </w:pPr>
                  <w:r>
                    <w:t xml:space="preserve">Lenders will typically take securities over the real estate property and the different related assets (e.g.</w:t>
                  </w:r>
                  <w:r>
                    <w:rPr>
                      <w:i/>
                    </w:rPr>
                    <w:t xml:space="preserve">, </w:t>
                  </w:r>
                  <w:r>
                    <w:t xml:space="preserve">a pledge over the shares in the purchasing company or in the company owning the real estate property, mortgage over the real estate property, assignment of rent paid by existing tenants in the real estate and indemnities paid by insurance companies).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produces the documentation in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The seller provides the documentation for due diligence. The 20-year notarial report (</w:t>
                  </w:r>
                  <w:r>
                    <w:t xml:space="preserve">relazione notarile ventennale</w:t>
                  </w:r>
                  <w:r>
                    <w:t xml:space="preserve">) on title and encumbrances can be obtained by either party.</w:t>
                  </w:r>
                </w:p>
                <w:p>
                  <w:pPr>
                    <w:pStyle w:val="BodyText"/>
                  </w:pPr>
                  <w:pPr>
                    <w:jc w:val="both"/>
                  </w:pPr>
                  <w:r>
                    <w:t xml:space="preserve">Deeds of transfer of ownership or creation of in rem rights over properties are usually drawn up jointly by the parties' lawyers and the involved notary public.</w:t>
                  </w:r>
                </w:p>
                <w:p>
                  <w:pPr>
                    <w:pStyle w:val="BodyText"/>
                  </w:pPr>
                  <w:pPr>
                    <w:jc w:val="both"/>
                  </w:pPr>
                  <w:r>
                    <w:t xml:space="preserve">Leases are usually drawn up by the landlord's lawyer.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owner or occupier inherit liability for matters relating to the real estate even if they occurred before the real estate was bought or occupied?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owners could inherit liabilities for matters that occurred before they bought the real estate (such as condominium charges, certain obligations assumed toward public entities and contained in town planning conventions encumbering the real property, public liens/privileges on the property in case taxes on the same are not paid by the previous owners).</w:t>
                  </w:r>
                </w:p>
                <w:p>
                  <w:pPr>
                    <w:pStyle w:val="BodyText"/>
                  </w:pPr>
                  <w:r>
                    <w:t xml:space="preserve">From an environmental standpoint, if the actual polluter is not found or identified or is insolvent, the competent local authorities (being the municipality or, in a supplementary way, the region where the plot of land is located) could proceed with the remediation autonomously ex officio. In such a case, the property is then subject to a lien securing recovery of the remediation costs advanced by the authorities, even if the owner was not the polluter; thus, the property could be expropriated if the remediation costs are not borne by the owner or the polluter.</w:t>
                  </w:r>
                </w:p>
                <w:p>
                  <w:pPr>
                    <w:pStyle w:val="BodyText"/>
                  </w:pPr>
                  <w:r>
                    <w:t xml:space="preserve">The lien is also supported by a special privilege on real estate (privilegio speciale immobiliare), which is a legitimate cause of pre-emption that gives its holder the right to be satisfied on the debtor's assets in preference to other creditors. The encumbrances will be annotated in the public real estate registries for "disclosure" and, thus, enforceability purposes. In addition, the encumbrances will have to be indicated in the Certificate of Urban Planning Destination (certificato di destinazione urbanistica (CDU)) relating to the plot of land.</w:t>
                  </w:r>
                </w:p>
                <w:p>
                  <w:pPr>
                    <w:pStyle w:val="BodyText"/>
                  </w:pPr>
                  <w:r>
                    <w:t xml:space="preserve">Where an owner, who was not the polluter, carries out the cleanup procedures on a voluntary basis, it has the right to claim against the polluter for the costs incurred and any greater damage suffered.</w:t>
                  </w:r>
                </w:p>
                <w:p>
                  <w:pPr>
                    <w:pStyle w:val="BodyText"/>
                  </w:pPr>
                  <w:r>
                    <w:t xml:space="preserve">Generally, tenants are not held liable for matters that occurred before they occupied the real estate property, unless so agreed under the relevant lease agreement or unless the tenant fails to prove that the matters from which liability arises occurred before it leased the asset.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seller or occupier retain any liabilities relating to the real estate after they have disposed of it?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By operation of law, and unless derogated by the parties in the relevant agreement, the seller will usually retain certain liabilities after it has disposed of the asset (such us warranties for defects or eviction) and liabilities specifically agreed upon in the relevant sale and purchase agreement or mandatorily required by law (such as warranties on cadastral compliance of the transferred real property).</w:t>
                  </w:r>
                </w:p>
                <w:p>
                  <w:pPr>
                    <w:pStyle w:val="BodyText"/>
                  </w:pPr>
                  <w:r>
                    <w:t xml:space="preserve">Tenants are generally not held liable for previous tenants' obligations unless so agreed in the relevant agreement.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Acquisition of Real Property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documents involved in such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21"/>
                    </w:numPr>
                  </w:pPr>
                  <w:r>
                    <w:t xml:space="preserve">(Non-binding) offer letter</w:t>
                  </w:r>
                </w:p>
                <w:p>
                  <w:pPr>
                    <w:pStyle w:val="BodyText"/>
                  </w:pPr>
                  <w:r>
                    <w:t xml:space="preserve"> </w:t>
                  </w:r>
                </w:p>
                <w:p>
                  <w:pPr>
                    <w:pStyle w:val="BodyText"/>
                  </w:pPr>
                  <w:r>
                    <w:t xml:space="preserve">Parties usually negotiate and sign a (non-binding) offer letter (lettera di intenti</w:t>
                  </w:r>
                  <w:r>
                    <w:rPr>
                      <w:i/>
                    </w:rPr>
                    <w:t xml:space="preserve">) </w:t>
                  </w:r>
                  <w:r>
                    <w:t xml:space="preserve">or heads of terms for the direct or indirect transfer of real estate property, which usually contains the purchase price, the tax treatment of the sale, certain terms and conditions of the sale, the conditions precedent to be fulfilled (if any) and the timing of the transaction, including the timing necessary for the purchaser to complete its due diligence, and an exclusivity provision in favor of the buyer for the duration of the due diligence.</w:t>
                  </w:r>
                </w:p>
                <w:p>
                  <w:pPr>
                    <w:pStyle w:val="BodyText"/>
                  </w:pPr>
                  <w:r>
                    <w:t xml:space="preserve"> </w:t>
                  </w:r>
                </w:p>
                <w:p>
                  <w:pPr>
                    <w:pStyle w:val="BodyText"/>
                  </w:pPr>
                  <w:pPr>
                    <w:pStyle w:val="ListParagraph"/>
                    <w:numPr>
                      <w:ilvl w:val="0"/>
                      <w:numId w:val="21"/>
                    </w:numPr>
                  </w:pPr>
                  <w:r>
                    <w:t xml:space="preserve">Due diligence report</w:t>
                  </w:r>
                </w:p>
                <w:p>
                  <w:pPr>
                    <w:pStyle w:val="BodyText"/>
                  </w:pPr>
                  <w:r>
                    <w:t xml:space="preserve"> </w:t>
                  </w:r>
                </w:p>
                <w:p>
                  <w:pPr>
                    <w:pStyle w:val="BodyText"/>
                  </w:pPr>
                  <w:r>
                    <w:t xml:space="preserve">Once the offer letter or heads of terms is signed, the buyer will usually carry out, through its legal, notarial and technical advisers, due diligence with respect to the property and/or the company that is in the process of being sold. The real estate legal due diligence is mainly aimed at ascertaining the ownership right, presence or absence of encumbrances as well as constraints or non-compliance or third parties' rights (such as statutory or contractual pre-emption rights), which may impair the use or transferability of the asset.</w:t>
                  </w:r>
                </w:p>
                <w:p>
                  <w:pPr>
                    <w:pStyle w:val="BodyText"/>
                  </w:pPr>
                  <w:r>
                    <w:t xml:space="preserve"> </w:t>
                  </w:r>
                </w:p>
                <w:p>
                  <w:pPr>
                    <w:pStyle w:val="BodyText"/>
                  </w:pPr>
                  <w:pPr>
                    <w:pStyle w:val="ListParagraph"/>
                    <w:numPr>
                      <w:ilvl w:val="0"/>
                      <w:numId w:val="21"/>
                    </w:numPr>
                  </w:pPr>
                  <w:r>
                    <w:t xml:space="preserve">(Preliminary) sale and purchase agreement (possibly subject to conditions precedent)</w:t>
                  </w:r>
                </w:p>
                <w:p>
                  <w:pPr>
                    <w:pStyle w:val="BodyText"/>
                  </w:pPr>
                  <w:r>
                    <w:t xml:space="preserve"> </w:t>
                  </w:r>
                </w:p>
                <w:p>
                  <w:pPr>
                    <w:pStyle w:val="BodyText"/>
                  </w:pPr>
                  <w:r>
                    <w:t xml:space="preserve">After completion of due diligence, a preliminary (binding) sale and purchase agreement is usually signed between the promissory seller and the promissory buyer. The sale and purchase agreement, which may subordinate the execution of the final sale and purchase deed to the fulfillment of certain conditions, will contain the main legal and commercial terms and conditions for the transaction, including description of the real property, the purchase price, the tax treatment of the sale, payment of a deposit (if any) and representations and warranties granted by the seller. Preliminary sale and purchase agreements are executed before an Italian notary public to allow the registration with real estate registries and, consequently, to be enforceable by third parties.</w:t>
                  </w:r>
                </w:p>
                <w:p>
                  <w:pPr>
                    <w:pStyle w:val="BodyText"/>
                  </w:pPr>
                  <w:r>
                    <w:t xml:space="preserve"> </w:t>
                  </w:r>
                </w:p>
                <w:p>
                  <w:pPr>
                    <w:pStyle w:val="BodyText"/>
                  </w:pPr>
                  <w:pPr>
                    <w:pStyle w:val="ListParagraph"/>
                    <w:numPr>
                      <w:ilvl w:val="0"/>
                      <w:numId w:val="21"/>
                    </w:numPr>
                  </w:pPr>
                  <w:r>
                    <w:t xml:space="preserve">Final sale and purchase agreement</w:t>
                  </w:r>
                </w:p>
                <w:p>
                  <w:pPr>
                    <w:pStyle w:val="BodyText"/>
                  </w:pPr>
                  <w:r>
                    <w:t xml:space="preserve"> </w:t>
                  </w:r>
                </w:p>
                <w:p>
                  <w:pPr>
                    <w:pStyle w:val="BodyText"/>
                  </w:pPr>
                  <w:r>
                    <w:t xml:space="preserve">Final sale and purchase agreement, which is executed by the parties before an Italian notary public (usually chosen by the buyer) to allow the registration with a real estate registry and, consequently, to be enforceable by third parties.</w:t>
                  </w:r>
                </w:p>
                <w:p>
                  <w:pPr>
                    <w:pStyle w:val="BodyText"/>
                  </w:pPr>
                  <w:r>
                    <w:t xml:space="preserve">Depending on the nature of the transferred real property, certain documents may be legally required as attachments to the sale and purchase agreement (such as the CDU and the Energy Performance Certificate (attestato di prestazione energetica)).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warranties given by a seller to a buyer?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Italian Civil Code sets out the following warranties made by the seller, unless waived by the buyer in the sale and purchase agreement:</w:t>
                  </w:r>
                </w:p>
                <w:p>
                  <w:pPr>
                    <w:pStyle w:val="BodyText"/>
                  </w:pPr>
                  <w:pPr>
                    <w:pStyle w:val="ListParagraph"/>
                    <w:numPr>
                      <w:ilvl w:val="0"/>
                      <w:numId w:val="20"/>
                    </w:numPr>
                  </w:pPr>
                  <w:r>
                    <w:t xml:space="preserve">Warranties for absence of burdens or any third parties' rights </w:t>
                  </w:r>
                </w:p>
                <w:p>
                  <w:pPr>
                    <w:pStyle w:val="BodyText"/>
                  </w:pPr>
                  <w:pPr>
                    <w:pStyle w:val="ListParagraph"/>
                    <w:numPr>
                      <w:ilvl w:val="0"/>
                      <w:numId w:val="20"/>
                    </w:numPr>
                  </w:pPr>
                  <w:r>
                    <w:t xml:space="preserve">Warranties for defects </w:t>
                  </w:r>
                </w:p>
                <w:p>
                  <w:pPr>
                    <w:pStyle w:val="BodyText"/>
                  </w:pPr>
                  <w:pPr>
                    <w:pStyle w:val="ListParagraph"/>
                    <w:numPr>
                      <w:ilvl w:val="0"/>
                      <w:numId w:val="20"/>
                    </w:numPr>
                  </w:pPr>
                  <w:r>
                    <w:t xml:space="preserve">Warranties for eviction (which can be waived with some limitations)</w:t>
                  </w:r>
                </w:p>
                <w:p>
                  <w:pPr>
                    <w:pStyle w:val="BodyText"/>
                  </w:pPr>
                  <w:r>
                    <w:t xml:space="preserve">Furthermore, special laws provide certain mandatory warranties that the seller must make in the agreement for the sale and purchase of real property (such as the cadastral compliance of the real property, and the details on the building titles).</w:t>
                  </w:r>
                </w:p>
                <w:p>
                  <w:pPr>
                    <w:pStyle w:val="BodyText"/>
                  </w:pPr>
                  <w:r>
                    <w:t xml:space="preserve">In addition to the above, further seller's warranties are usually agreed upon in the agreement based on the outcome of the due diligence.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the sale legally binding?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a sale is legally binding between the seller and the buyer once a written agreement setting out the main terms of the sale transaction (such as the subject matter and the purchase price) becomes effective.</w:t>
                  </w:r>
                </w:p>
                <w:p>
                  <w:pPr>
                    <w:pStyle w:val="BodyText"/>
                  </w:pPr>
                  <w:r>
                    <w:t xml:space="preserve">A preliminary sale and purchase agreement does not cause the immediate transfer of ownership over the property, but only binds the parties to execute a final sale and purchase agreement for the transfer of the property at a later date, subject to the occurrence of the conditions precedent (if any).</w:t>
                  </w:r>
                </w:p>
                <w:p>
                  <w:pPr>
                    <w:pStyle w:val="BodyText"/>
                  </w:pPr>
                  <w:r>
                    <w:t xml:space="preserve">However, all documents transferring ownership of real property must be recorded with the real estate registries for enforceability by third parties.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title transferred?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Title over real properties is transferred upon execution of a valid final sale and purchase agreement between the lawful title holder and the purchaser, except in those few cases in which the registration with the real estate registries is a requirement of validity of the transfer.</w:t>
                  </w:r>
                </w:p>
                <w:p>
                  <w:pPr>
                    <w:pStyle w:val="BodyText"/>
                  </w:pPr>
                  <w:r>
                    <w:t xml:space="preserve">Ownership right can also be acquired by adverse possession (usucapione) (i.e., the uninterrupted and unchallenged use of the real property by someone who does not actually own the title), if certain legal conditions are met. However, adverse possession is contentious and difficult to prove.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costs usually shouldered by the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costs are usually borne by the buyer:</w:t>
                  </w:r>
                </w:p>
                <w:p>
                  <w:pPr>
                    <w:pStyle w:val="BodyText"/>
                  </w:pPr>
                  <w:pPr>
                    <w:pStyle w:val="ListParagraph"/>
                    <w:numPr>
                      <w:ilvl w:val="0"/>
                      <w:numId w:val="18"/>
                    </w:numPr>
                  </w:pPr>
                  <w:r>
                    <w:t xml:space="preserve">Buyer's agent fee (if any)</w:t>
                  </w:r>
                </w:p>
                <w:p>
                  <w:pPr>
                    <w:pStyle w:val="BodyText"/>
                  </w:pPr>
                  <w:pPr>
                    <w:pStyle w:val="ListParagraph"/>
                    <w:numPr>
                      <w:ilvl w:val="0"/>
                      <w:numId w:val="18"/>
                    </w:numPr>
                  </w:pPr>
                  <w:r>
                    <w:t xml:space="preserve">Buyer's advisers' costs (such as legal, technical costs)</w:t>
                  </w:r>
                </w:p>
                <w:p>
                  <w:pPr>
                    <w:pStyle w:val="BodyText"/>
                  </w:pPr>
                  <w:pPr>
                    <w:pStyle w:val="ListParagraph"/>
                    <w:numPr>
                      <w:ilvl w:val="0"/>
                      <w:numId w:val="18"/>
                    </w:numPr>
                  </w:pPr>
                  <w:r>
                    <w:t xml:space="preserve">Notarial costs</w:t>
                  </w:r>
                </w:p>
                <w:p>
                  <w:pPr>
                    <w:pStyle w:val="BodyText"/>
                  </w:pPr>
                  <w:pPr>
                    <w:pStyle w:val="ListParagraph"/>
                    <w:numPr>
                      <w:ilvl w:val="0"/>
                      <w:numId w:val="18"/>
                    </w:numPr>
                  </w:pPr>
                  <w:r>
                    <w:t xml:space="preserve">Applicable taxes</w:t>
                  </w:r>
                </w:p>
                <w:p>
                  <w:pPr>
                    <w:pStyle w:val="BodyText"/>
                  </w:pPr>
                  <w:r>
                    <w:t xml:space="preserve">The following costs are usually borne by the seller:</w:t>
                  </w:r>
                </w:p>
                <w:p>
                  <w:pPr>
                    <w:pStyle w:val="BodyText"/>
                  </w:pPr>
                  <w:pPr>
                    <w:pStyle w:val="ListParagraph"/>
                    <w:numPr>
                      <w:ilvl w:val="0"/>
                      <w:numId w:val="19"/>
                    </w:numPr>
                  </w:pPr>
                  <w:r>
                    <w:t xml:space="preserve">Seller's agent fee (if any)</w:t>
                  </w:r>
                </w:p>
                <w:p>
                  <w:pPr>
                    <w:pStyle w:val="BodyText"/>
                  </w:pPr>
                  <w:pPr>
                    <w:pStyle w:val="ListParagraph"/>
                    <w:numPr>
                      <w:ilvl w:val="0"/>
                      <w:numId w:val="19"/>
                    </w:numPr>
                  </w:pPr>
                  <w:r>
                    <w:t xml:space="preserve">Seller's advisers' costs (such as legal, technical costs)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forms of leases?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usual forms of leases of real estate assets are the following:</w:t>
                  </w:r>
                </w:p>
                <w:p>
                  <w:pPr>
                    <w:pStyle w:val="BodyText"/>
                  </w:pPr>
                  <w:pPr>
                    <w:pStyle w:val="ListParagraph"/>
                    <w:numPr>
                      <w:ilvl w:val="0"/>
                      <w:numId w:val="15"/>
                    </w:numPr>
                  </w:pPr>
                  <w:r>
                    <w:t xml:space="preserve">Residential leases, which include the following subcategories:</w:t>
                  </w:r>
                </w:p>
                <w:p>
                  <w:pPr>
                    <w:pStyle w:val="BodyText"/>
                  </w:pPr>
                  <w:pPr>
                    <w:pStyle w:val="ListParagraph"/>
                    <w:numPr>
                      <w:ilvl w:val="1"/>
                      <w:numId w:val="16"/>
                    </w:numPr>
                    <w:ind w:left="1560"/>
                  </w:pPr>
                  <w:r>
                    <w:t xml:space="preserve">Ordinary leases (with a minimum duration of four years, renewable for a further four years) mainly regulated by Law No. 431/1998, as amended</w:t>
                  </w:r>
                </w:p>
                <w:p>
                  <w:pPr>
                    <w:pStyle w:val="BodyText"/>
                  </w:pPr>
                  <w:pPr>
                    <w:pStyle w:val="ListParagraph"/>
                    <w:numPr>
                      <w:ilvl w:val="1"/>
                      <w:numId w:val="16"/>
                    </w:numPr>
                    <w:ind w:left="1560"/>
                  </w:pPr>
                  <w:r>
                    <w:t xml:space="preserve">So-called agreed upon agreement (contratto convenzionato) (with a minimum duration of three years, renewable for a further two years)</w:t>
                  </w:r>
                </w:p>
                <w:p>
                  <w:pPr>
                    <w:pStyle w:val="BodyText"/>
                  </w:pPr>
                  <w:pPr>
                    <w:pStyle w:val="ListParagraph"/>
                    <w:numPr>
                      <w:ilvl w:val="1"/>
                      <w:numId w:val="16"/>
                    </w:numPr>
                    <w:ind w:left="1560"/>
                  </w:pPr>
                  <w:r>
                    <w:t xml:space="preserve">Temporary (transitorio) agreement (with a maximum duration of eighteen months)</w:t>
                  </w:r>
                </w:p>
                <w:p>
                  <w:pPr>
                    <w:pStyle w:val="BodyText"/>
                  </w:pPr>
                  <w:r>
                    <w:t xml:space="preserve"> </w:t>
                  </w:r>
                </w:p>
                <w:p>
                  <w:pPr>
                    <w:pStyle w:val="BodyText"/>
                  </w:pPr>
                  <w:pPr>
                    <w:pStyle w:val="ListParagraph"/>
                    <w:numPr>
                      <w:ilvl w:val="0"/>
                      <w:numId w:val="15"/>
                    </w:numPr>
                  </w:pPr>
                  <w:r>
                    <w:t xml:space="preserve">Non-residential leases mainly regulated by Law No. 392/1978, as amended, which include the following sub-categories:</w:t>
                  </w:r>
                </w:p>
                <w:p>
                  <w:pPr>
                    <w:pStyle w:val="BodyText"/>
                  </w:pPr>
                  <w:pPr>
                    <w:pStyle w:val="ListParagraph"/>
                    <w:numPr>
                      <w:ilvl w:val="1"/>
                      <w:numId w:val="17"/>
                    </w:numPr>
                    <w:ind w:left="1560"/>
                  </w:pPr>
                  <w:r>
                    <w:t xml:space="preserve">"Standard regime" leases </w:t>
                  </w:r>
                </w:p>
                <w:p>
                  <w:pPr>
                    <w:pStyle w:val="BodyText"/>
                  </w:pPr>
                  <w:pPr>
                    <w:pStyle w:val="ListParagraph"/>
                    <w:numPr>
                      <w:ilvl w:val="1"/>
                      <w:numId w:val="17"/>
                    </w:numPr>
                    <w:ind w:left="1560"/>
                  </w:pPr>
                  <w:r>
                    <w:t xml:space="preserve">Temporary leases</w:t>
                  </w:r>
                </w:p>
                <w:p>
                  <w:pPr>
                    <w:pStyle w:val="BodyText"/>
                  </w:pPr>
                  <w:pPr>
                    <w:pStyle w:val="ListParagraph"/>
                    <w:numPr>
                      <w:ilvl w:val="1"/>
                      <w:numId w:val="17"/>
                    </w:numPr>
                    <w:ind w:left="1560"/>
                  </w:pPr>
                  <w:r>
                    <w:t xml:space="preserve">So-called maxi lease (providing for an annual rent higher than EUR 250,000 and not involving "premises qualified as having a historical interest pursuant to a regional or municipality order" (locali qualificati di interesse storico a seguito di provvedimento regionale o comunale))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lease provisions regulated or freely negotiable?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Most of the legal provisions provided by special laws applicable to leases cannot be derogated by the parties in a way detrimental to the tenant. The above does not apply to "maxi" leases where, instead, the parties are generally free to agree upon the lease terms with no restrictions.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maximum term for leases? Can these be extended?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maximum term for leases is 30 years. According to prevailing case law, a 30-year limit does not apply where it is reached through renewal of the lease.</w:t>
                  </w:r>
                </w:p>
                <w:p>
                  <w:pPr>
                    <w:pStyle w:val="BodyText"/>
                  </w:pPr>
                  <w:r>
                    <w:t xml:space="preserve">Leases longer than 30 days must be registered with the tax authorities and leases longer than nine years (renewals excluded) must also be executed before a notary public for the purpose of being registered with the real estate registries and, thus, become enforceable by third parties for the period exceeding the nine-year term.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lease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Usual lease terms vary depending on the type of lease and type of asset.</w:t>
                  </w:r>
                </w:p>
                <w:p>
                  <w:pPr>
                    <w:pStyle w:val="BodyText"/>
                  </w:pPr>
                  <w:r>
                    <w:t xml:space="preserve">The following applies to non-residential leases:</w:t>
                  </w:r>
                </w:p>
                <w:p>
                  <w:pPr>
                    <w:pStyle w:val="BodyText"/>
                  </w:pPr>
                  <w:pPr>
                    <w:pStyle w:val="ListParagraph"/>
                    <w:numPr>
                      <w:ilvl w:val="0"/>
                      <w:numId w:val="14"/>
                    </w:numPr>
                  </w:pPr>
                  <w:r>
                    <w:t xml:space="preserve">"Standard regime" leases have a minimum duration of six years renewable for a further six years (for hotels or theaters, nine years renewable for further nine years).</w:t>
                  </w:r>
                </w:p>
                <w:p>
                  <w:pPr>
                    <w:pStyle w:val="BodyText"/>
                  </w:pPr>
                  <w:pPr>
                    <w:pStyle w:val="ListParagraph"/>
                    <w:numPr>
                      <w:ilvl w:val="0"/>
                      <w:numId w:val="14"/>
                    </w:numPr>
                  </w:pPr>
                  <w:r>
                    <w:t xml:space="preserve">Temporary leases can have a duration shorter than the minimum provided for "standard regime" leases if the activity carried out is temporary by nature.</w:t>
                  </w:r>
                </w:p>
                <w:p>
                  <w:pPr>
                    <w:pStyle w:val="BodyText"/>
                  </w:pPr>
                  <w:pPr>
                    <w:pStyle w:val="ListParagraph"/>
                    <w:numPr>
                      <w:ilvl w:val="0"/>
                      <w:numId w:val="14"/>
                    </w:numPr>
                  </w:pPr>
                  <w:r>
                    <w:t xml:space="preserve">"Maxi" leases can have a duration shorter than the minimum provided for (standard) leases if so agreed upon by the parties. </w:t>
                  </w:r>
                </w:p>
                <w:p>
                  <w:pPr>
                    <w:pStyle w:val="BodyText"/>
                  </w:pPr>
                  <w:r>
                    <w:t xml:space="preserve">For parties' rights to prevent the automatic renewal of the lease, please refer to our response under "On what grounds may a lease be terminated?".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instances where tenants may demand an extension of the lease?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unless an extension has been granted in favor of the tenant in the lease.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On what grounds may a lease be terminated?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a matter of general principle, either party may terminate the lease in case of a material breach by the other party. Furthermore, either party may terminate the lease by serving a termination notice on the other party when such termination right is granted by operation of law, or if expressly agreed upon by the parties in the lease in compliance with law.</w:t>
                  </w:r>
                </w:p>
                <w:p>
                  <w:pPr>
                    <w:pStyle w:val="BodyText"/>
                  </w:pPr>
                  <w:r>
                    <w:t xml:space="preserve">Generally, for non-residential leases, at the end of the first lease period and any further renewal periods, either party has the right to prevent the renewal of the lease by serving a written termination notice on the other party by the requested deadline. Some restrictions apply to the landlord's right to prevent renewal of the lease at the end of the first lease period.</w:t>
                  </w:r>
                </w:p>
                <w:p>
                  <w:pPr>
                    <w:pStyle w:val="BodyText"/>
                  </w:pPr>
                  <w:r>
                    <w:t xml:space="preserve">In addition, if agreed in the lease, the tenant is allowed to terminate the lease "at will" and at any time by serving at least six months' notice on the landlord. If the lease does not include such clause, by operation of law, the tenant's right to terminate can be exercised only in case of "serious grounds."</w:t>
                  </w:r>
                </w:p>
                <w:p>
                  <w:pPr>
                    <w:pStyle w:val="BodyText"/>
                  </w:pPr>
                  <w:r>
                    <w:t xml:space="preserve">The definition of "serious grounds" is not expressly provided for by the law; however, case law has stated that "serious grounds" can be identified as events beyond the tenant's control, unforeseeable by the tenant at the time of execution of the lease agreement and occurred after the establishment of the lease relationship, which resulted the lease becoming excessively burdensome for the tenant.</w:t>
                  </w:r>
                </w:p>
                <w:p>
                  <w:pPr>
                    <w:pStyle w:val="BodyText"/>
                  </w:pPr>
                  <w:r>
                    <w:t xml:space="preserve">Similar renewal or refusal of renewal schemes apply to residential leases.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Must rents be paid in local currency?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Rent is payable in local currency unless otherwise agreed upon by the parties in the lease agreement.</w:t>
                  </w:r>
                </w:p>
                <w:p>
                  <w:pPr>
                    <w:pStyle w:val="BodyText"/>
                  </w:pPr>
                  <w:r>
                    <w:t xml:space="preserve">However, arrangements for payment of rent in foreign currencies are very unusual and may create issues with respect to the calculation of the applicable registration tax to be paid annually.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rent paid on a monthly basis? Is it required to be paid in advance?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non-residential leases, rent is usually paid in advance on a quarterly or monthly basis.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rent reviewed? Are there limits to the increase in rent?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rent review applies unless the parties to the lease have expressly provided so in the lease agreement. Most leases provide for annual indexation.</w:t>
                  </w:r>
                  <w:r>
                    <w:t xml:space="preserve">  </w:t>
                  </w:r>
                </w:p>
                <w:p>
                  <w:pPr>
                    <w:pStyle w:val="BodyText"/>
                  </w:pPr>
                  <w:r>
                    <w:t xml:space="preserve">For non-residential leases, rent can be subject to a maximum annual increase equal to 75% of the annual variations of the consumer price index as assessed by the Italian National Institute of Statistics. This limitation does not apply to (i) "maxi" leases (as described in our response to "What are the usual forms of leases?") and (ii) leases with a duration (renewals excluded) exceeding the minimum provided by law.</w:t>
                  </w:r>
                </w:p>
                <w:p>
                  <w:pPr>
                    <w:pStyle w:val="BodyText"/>
                  </w:pPr>
                  <w:r>
                    <w:t xml:space="preserve">Case law ruled that the parties to a non-residential lease may agree to a rent determination on an increasing basis over time unless the parties only intended to neutralize the effects of currency devaluation.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basic obligations of landlords and tenants?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Unless derogated by the parties (with some limitations), basic obligations of landlords and tenants to leases of properties are regulated by the relevant provisions of the Italian Civil Code.</w:t>
                  </w:r>
                </w:p>
                <w:p>
                  <w:pPr>
                    <w:pStyle w:val="BodyText"/>
                  </w:pPr>
                  <w:r>
                    <w:t xml:space="preserve">The following are usually required from landlords:</w:t>
                  </w:r>
                </w:p>
                <w:p>
                  <w:pPr>
                    <w:pStyle w:val="BodyText"/>
                  </w:pPr>
                  <w:pPr>
                    <w:pStyle w:val="ListParagraph"/>
                    <w:numPr>
                      <w:ilvl w:val="0"/>
                      <w:numId w:val="12"/>
                    </w:numPr>
                  </w:pPr>
                  <w:r>
                    <w:t xml:space="preserve">Deliver the leased property in good maintenance status</w:t>
                  </w:r>
                </w:p>
                <w:p>
                  <w:pPr>
                    <w:pStyle w:val="BodyText"/>
                  </w:pPr>
                  <w:pPr>
                    <w:pStyle w:val="ListParagraph"/>
                    <w:numPr>
                      <w:ilvl w:val="0"/>
                      <w:numId w:val="12"/>
                    </w:numPr>
                  </w:pPr>
                  <w:r>
                    <w:t xml:space="preserve">Keep the leased property in order to preserve the agreed (contractual) use</w:t>
                  </w:r>
                </w:p>
                <w:p>
                  <w:pPr>
                    <w:pStyle w:val="BodyText"/>
                  </w:pPr>
                  <w:pPr>
                    <w:pStyle w:val="ListParagraph"/>
                    <w:numPr>
                      <w:ilvl w:val="0"/>
                      <w:numId w:val="12"/>
                    </w:numPr>
                  </w:pPr>
                  <w:r>
                    <w:t xml:space="preserve">Grant "quiet enjoyment" during the lease term from third parties' acts, faults or challenges of rights over the leased property </w:t>
                  </w:r>
                </w:p>
                <w:p>
                  <w:pPr>
                    <w:pStyle w:val="BodyText"/>
                  </w:pPr>
                  <w:pPr>
                    <w:pStyle w:val="ListParagraph"/>
                    <w:numPr>
                      <w:ilvl w:val="0"/>
                      <w:numId w:val="12"/>
                    </w:numPr>
                  </w:pPr>
                  <w:r>
                    <w:t xml:space="preserve">Repair and maintain the structure of the rented premises (mandatorily)</w:t>
                  </w:r>
                </w:p>
                <w:p>
                  <w:pPr>
                    <w:pStyle w:val="BodyText"/>
                  </w:pPr>
                  <w:r>
                    <w:t xml:space="preserve">The following are usually the basic obligations of tenants:</w:t>
                  </w:r>
                </w:p>
                <w:p>
                  <w:pPr>
                    <w:pStyle w:val="BodyText"/>
                  </w:pPr>
                  <w:pPr>
                    <w:pStyle w:val="ListParagraph"/>
                    <w:numPr>
                      <w:ilvl w:val="0"/>
                      <w:numId w:val="13"/>
                    </w:numPr>
                  </w:pPr>
                  <w:r>
                    <w:t xml:space="preserve">Accept the delivery of the leased property and observe due diligence in managing the same (</w:t>
                  </w:r>
                  <w:r>
                    <w:t xml:space="preserve">diligenza del buon padre di famiglia</w:t>
                  </w:r>
                  <w:r>
                    <w:t xml:space="preserve">)</w:t>
                  </w:r>
                </w:p>
                <w:p>
                  <w:pPr>
                    <w:pStyle w:val="BodyText"/>
                  </w:pPr>
                  <w:pPr>
                    <w:pStyle w:val="ListParagraph"/>
                    <w:numPr>
                      <w:ilvl w:val="0"/>
                      <w:numId w:val="13"/>
                    </w:numPr>
                  </w:pPr>
                  <w:r>
                    <w:t xml:space="preserve">Bear the ordinary maintenance of the leased premises </w:t>
                  </w:r>
                </w:p>
                <w:p>
                  <w:pPr>
                    <w:pStyle w:val="BodyText"/>
                  </w:pPr>
                  <w:pPr>
                    <w:pStyle w:val="ListParagraph"/>
                    <w:numPr>
                      <w:ilvl w:val="0"/>
                      <w:numId w:val="13"/>
                    </w:numPr>
                  </w:pPr>
                  <w:r>
                    <w:t xml:space="preserve">Pay rent and service charges in accordance with the agreed terms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provisions or restrictions typically apply to the transfer of the lease by the tenant? May a tenant sublet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Unless otherwise agreed upon by the parties in the lease, the tenant may not assign the lease without the prior consent of the landlord. However, the tenant may freely sublet the leased premises.</w:t>
                  </w:r>
                </w:p>
                <w:p>
                  <w:pPr>
                    <w:pStyle w:val="BodyText"/>
                  </w:pPr>
                  <w:r>
                    <w:t xml:space="preserve">Special rules apply to non-residential leases, unless a more favorable regime is agreed, where the tenant may assign the lease or sublease the leased premises without the prior consent of the landlord if the assignment or sublease is made within the context of a transfer or lease of the going concern related to the leased premises. However, the landlord may oppose the assignment or sublease for "serious reasons" (mostly related to financial capabilities of the tenant-assignee/sublessee) within 30 days from receipt of the notice sent by the tenant. However, the assignor-tenant will remain jointly liable with the assignee-tenant for all the lease obligations toward the landlord unless expressly released by the landlord.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happens in the event of destruction of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Unless otherwise agreed upon by the parties, destruction of the leased premises is regulated by the relevant provisions of the Italian Civil Code.</w:t>
                  </w:r>
                </w:p>
                <w:p>
                  <w:pPr>
                    <w:pStyle w:val="BodyText"/>
                  </w:pPr>
                  <w:r>
                    <w:t xml:space="preserve">Pursuant to the provisions and principles, where during the term of the lease, leased premises are wholly destroyed, the lease is automatically terminated by operation of law. The tenant will be held responsible if the premises are damaged or destroyed unless the tenant proves that destruction is not attributable to it.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usually responsible for insuring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owner/landlord usually insures the owned premises. For non-residential leases, the tenant is usually responsible for insuring its belongings within the leased premises and the leased premises against damage caused in relation to the activity carried out within the premises.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owner sells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if the lease has a fixed date (data certa) prior to the sale and unless the parties have otherwise provided for in the lease. Leases with a duration longer than nine years (renewals excluded) are also recorded with the real estate registries prior to the sale for the lease to continue with the new owner for the period exceeding the first nine years.</w:t>
                  </w:r>
                </w:p>
                <w:p>
                  <w:pPr>
                    <w:pStyle w:val="BodyText"/>
                  </w:pPr>
                  <w:r>
                    <w:t xml:space="preserve">Leases are deemed to have a fixed date (data certa) upon registration of the lease with the tax authorities, execution of the lease before a notary public or exchange by registered mail or email.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leased premises are foreclosed?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lease has a fixed date (data certa) it will be enforceable against a secured creditor of a landlord who carries out a seizure procedure after the fixed date.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 and Environmental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has authority over land development and environmental regulation?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relevant municipality with respect to the planning of the land development in accordance with the applicable regional plan, and the state with respect to environmental regulation.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environmental laws affect the use and occupation of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Legislative Decree No. 152/2006 ("</w:t>
                  </w:r>
                  <w:r>
                    <w:rPr>
                      <w:b/>
                    </w:rPr>
                    <w:t xml:space="preserve">Environmental Code</w:t>
                  </w:r>
                  <w:r>
                    <w:t xml:space="preserve">") represents the environmental laws consolidation act and, therefore, can be regarded as the core of all Italian environmental regulations.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main permits or licenses are required for building or occupying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1"/>
                    </w:numPr>
                  </w:pPr>
                  <w:r>
                    <w:t xml:space="preserve">A building permit (</w:t>
                  </w:r>
                  <w:r>
                    <w:t xml:space="preserve">permesso di costruire</w:t>
                  </w:r>
                  <w:r>
                    <w:t xml:space="preserve">) granted by the local municipality is required for any "new construction" such as new buildings, building area enlargements, etc. (Presidential Decree No. 380/2001).</w:t>
                  </w:r>
                </w:p>
                <w:p>
                  <w:pPr>
                    <w:pStyle w:val="BodyText"/>
                  </w:pPr>
                  <w:pPr>
                    <w:pStyle w:val="ListParagraph"/>
                    <w:numPr>
                      <w:ilvl w:val="0"/>
                      <w:numId w:val="11"/>
                    </w:numPr>
                  </w:pPr>
                  <w:r>
                    <w:t xml:space="preserve">A simple notification to the municipality (</w:t>
                  </w:r>
                  <w:r>
                    <w:t xml:space="preserve">Segnalazione Certificata di Inizio Attività</w:t>
                  </w:r>
                  <w:r>
                    <w:t xml:space="preserve"> (</w:t>
                  </w:r>
                  <w:r>
                    <w:t xml:space="preserve">SCIA)</w:t>
                  </w:r>
                  <w:r>
                    <w:t xml:space="preserve">) is required for extraordinary maintenance works and minor construction work (e.g., renovations).</w:t>
                  </w:r>
                </w:p>
                <w:p>
                  <w:pPr>
                    <w:pStyle w:val="BodyText"/>
                  </w:pPr>
                  <w:pPr>
                    <w:pStyle w:val="ListParagraph"/>
                    <w:numPr>
                      <w:ilvl w:val="0"/>
                      <w:numId w:val="11"/>
                    </w:numPr>
                  </w:pPr>
                  <w:r>
                    <w:t xml:space="preserve">A communication to the municipality (Comunicazione di Inizio Lavori Asseverata) is required for all works that do not fall in the scope of the building permit or SCIA regimes.</w:t>
                  </w:r>
                </w:p>
                <w:p>
                  <w:pPr>
                    <w:pStyle w:val="BodyText"/>
                  </w:pPr>
                  <w:pPr>
                    <w:pStyle w:val="ListParagraph"/>
                    <w:numPr>
                      <w:ilvl w:val="0"/>
                      <w:numId w:val="11"/>
                    </w:numPr>
                  </w:pPr>
                  <w:r>
                    <w:t xml:space="preserve">In case of new construction, a fit-for-use certification (certificato di agibilità/abitabilità) must be obtained. The certificate will then have to be approved by the competent municipality (silent approval applies).</w:t>
                  </w:r>
                </w:p>
                <w:p>
                  <w:pPr>
                    <w:pStyle w:val="BodyText"/>
                  </w:pPr>
                  <w:pPr>
                    <w:pStyle w:val="ListParagraph"/>
                    <w:numPr>
                      <w:ilvl w:val="0"/>
                      <w:numId w:val="11"/>
                    </w:numPr>
                  </w:pPr>
                  <w:r>
                    <w:t xml:space="preserve">Depending on use of the property, environmental permits may be required (wastewater discharge authorization, air emission authorization, fire prevention certificate, etc.).</w:t>
                  </w:r>
                </w:p>
                <w:p>
                  <w:pPr>
                    <w:pStyle w:val="BodyText"/>
                  </w:pPr>
                  <w:pPr>
                    <w:pStyle w:val="ListParagraph"/>
                    <w:numPr>
                      <w:ilvl w:val="0"/>
                      <w:numId w:val="11"/>
                    </w:numPr>
                  </w:pPr>
                  <w:r>
                    <w:t xml:space="preserve">If a building is classified as having a special architectural merit of historical interest or is situated in an area of historical or environmental significance, several controls and limitations are applied in accordance with Legislative Decree No. 42/2004.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environmental cleanup be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p>
                  <w:pPr>
                    <w:pStyle w:val="BodyText"/>
                  </w:pPr>
                  <w:r>
                    <w:t xml:space="preserve">All land contamination legislation is now governed by the Environmental Code. Article 242 of the Environmental Code provides for a special cleanup procedure to be followed in cases of contamination, or actual and current risk of contamination, consistent with the "polluter pays" EU principle.</w:t>
                  </w:r>
                </w:p>
                <w:p>
                  <w:pPr>
                    <w:pStyle w:val="BodyText"/>
                  </w:pPr>
                  <w:r>
                    <w:t xml:space="preserve">Cleanup is required if the land is considered contaminated. Under Article 240 of the Environmental Code, land is "contaminated" when one of the risk-concentration values (polluting capability and risk analysis) of polluting substances in the soil, subsoil, groundwater or superficial waters, exceeds the acceptable limits of concentration (indicated in Enclosure I of the Environmental Code).</w:t>
                  </w:r>
                </w:p>
                <w:p>
                  <w:pPr>
                    <w:pStyle w:val="BodyText"/>
                  </w:pPr>
                  <w:r>
                    <w:t xml:space="preserve">Each polluting substance can be present on the site up to a certain level. However, if any polluting substance exceeds the acceptable limits, then the cleanup procedure must be carried out in accordance with the above-mentioned law. Please note that the acceptable level in the soil varies depending on the intended use of the site (i.e., residential or industrial).</w:t>
                  </w:r>
                </w:p>
                <w:p>
                  <w:pPr>
                    <w:pStyle w:val="BodyText"/>
                  </w:pPr>
                  <w:r>
                    <w:t xml:space="preserve">Article 245 of the Environmental Code provides that the owner or the operator of the site that is not responsible for the contamination, must immediately take the appropriate preventive measures and report to the competent authorities any discovery of historical contamination exceeding the acceptable limits of concentration. They are not obliged to carry out remediation, but failure to take such preventive measures and report may originate liability for damages if any (e.g., in case of dynamic contamination and worsening of the situation due to the non-adoption of preventive measures).</w:t>
                  </w:r>
                </w:p>
                <w:p>
                  <w:pPr>
                    <w:pStyle w:val="BodyText"/>
                  </w:pPr>
                  <w:r>
                    <w:t xml:space="preserve">Note that in case the polluter is unknown or is unable to undertake the remediation costs, the authorities may investigate the situation to identify the polluter. If the polluter remains unknown or does not remediate for whatever reason, the authorities may proceed with remediation on their own. In such a case, the property is subject to a lien guaranteeing the remediation costs, even if the property owner was not the polluter and the site could be expropriated if the parties do not pay the remediation costs.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minimum energy performance requirements for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Minimum energy efficiency requirements have been introduced for new buildings and for major renovation works on existing buildings.</w:t>
                  </w:r>
                </w:p>
                <w:p>
                  <w:pPr>
                    <w:pStyle w:val="BodyText"/>
                  </w:pPr>
                  <w:r>
                    <w:t xml:space="preserve">Legislative Decree No. 192/2005, enacting Directive 2010/31/EU on Nearly Energy Zero Buildings, provides for minimum energy efficiency requirements for new buildings.</w:t>
                  </w:r>
                  <w:r>
                    <w:t xml:space="preserve">  </w:t>
                  </w:r>
                </w:p>
                <w:p>
                  <w:pPr>
                    <w:pStyle w:val="BodyText"/>
                  </w:pPr>
                  <w:r>
                    <w:t xml:space="preserve">Moreover, Legislative Decree No. 199/2021 requires new buildings and buildings that undergo major renovation works to cover a minimum share of their heating, cooling and electricity demand via renewable energy.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other regulatory measures that aim to improve the sustainability of newly constructed and existing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Italian legislation on energy performance certificate is contained under Legislative Decree No. 192/2005, which has been subject to several amendments.</w:t>
                  </w:r>
                </w:p>
                <w:p>
                  <w:pPr>
                    <w:pStyle w:val="BodyText"/>
                  </w:pPr>
                  <w:r>
                    <w:t xml:space="preserve">The current version of the Legislative Decree No. 192/2005 provides the following:</w:t>
                  </w:r>
                </w:p>
                <w:p>
                  <w:pPr>
                    <w:pStyle w:val="BodyText"/>
                  </w:pPr>
                  <w:pPr>
                    <w:pStyle w:val="ListParagraph"/>
                    <w:numPr>
                      <w:ilvl w:val="0"/>
                      <w:numId w:val="10"/>
                    </w:numPr>
                  </w:pPr>
                  <w:r>
                    <w:t xml:space="preserve"> During the negotiations of a lease agreement, the landlord must make available the energy performance certificate to the prospective tenant. </w:t>
                  </w:r>
                </w:p>
                <w:p>
                  <w:pPr>
                    <w:pStyle w:val="BodyText"/>
                  </w:pPr>
                  <w:pPr>
                    <w:pStyle w:val="ListParagraph"/>
                    <w:numPr>
                      <w:ilvl w:val="0"/>
                      <w:numId w:val="10"/>
                    </w:numPr>
                  </w:pPr>
                  <w:r>
                    <w:t xml:space="preserve">At the end of the negotiations, the landlord must provide a copy of that certificate to the prospective tenant. </w:t>
                  </w:r>
                </w:p>
                <w:p>
                  <w:pPr>
                    <w:pStyle w:val="BodyText"/>
                  </w:pPr>
                  <w:pPr>
                    <w:pStyle w:val="ListParagraph"/>
                    <w:numPr>
                      <w:ilvl w:val="0"/>
                      <w:numId w:val="10"/>
                    </w:numPr>
                  </w:pPr>
                  <w:r>
                    <w:t xml:space="preserve">The parties of a lease agreement are requested to insert in the text of the agreement a special clause in which the tenant acknowledges that it has received the information and documentation, including the certificate, concerning the energy performance of the leased building or unit. </w:t>
                  </w:r>
                </w:p>
                <w:p>
                  <w:pPr>
                    <w:pStyle w:val="BodyText"/>
                  </w:pPr>
                  <w:pPr>
                    <w:pStyle w:val="ListParagraph"/>
                    <w:numPr>
                      <w:ilvl w:val="0"/>
                      <w:numId w:val="10"/>
                    </w:numPr>
                  </w:pPr>
                  <w:r>
                    <w:t xml:space="preserve">For the lease of whole buildings, the parties are also requested to attach a copy of the energy performance certificate to the agreement. This is not requested for leases of single units. </w:t>
                  </w:r>
                </w:p>
                <w:p>
                  <w:pPr>
                    <w:pStyle w:val="BodyText"/>
                  </w:pPr>
                  <w:pPr>
                    <w:pStyle w:val="ListParagraph"/>
                    <w:numPr>
                      <w:ilvl w:val="0"/>
                      <w:numId w:val="10"/>
                    </w:numPr>
                  </w:pPr>
                  <w:r>
                    <w:t xml:space="preserve">If the tenant's declaration that it has received the information and documentation concerning the energy certificate of the leased premises is omitted or, for leases of whole buildings, if the certificate is not attached to the agreement, the parties will be subject to payment, jointly and in equal parts, of an administrative pecuniary fine. The national legislation must then be coordinated and integrated with the regulations issued at the regional level, if any. </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9">
    <w:multiLevelType w:val="singleLevel"/>
    <w:lvl w:ilvl="0">
      <w:start w:val="1"/>
      <w:numFmt w:val="decimal"/>
      <w:lvlText w:val="%1."/>
      <w:pPr>
        <w:ind w:left="420" w:hanging="360"/>
      </w:pPr>
    </w:lvl>
  </w:abstractNum>
  <w:abstractNum w:abstractNumId="90">
    <w:multiLevelType w:val="singleLevel"/>
    <w:lvl w:ilvl="0">
      <w:numFmt w:val="bullet"/>
      <w:lvlText w:val="•"/>
      <w:pPr>
        <w:ind w:left="420" w:hanging="360"/>
      </w:pPr>
    </w:lvl>
  </w:abstractNum>
  <w:abstractNum w:abstractNumId="91">
    <w:multiLevelType w:val="singleLevel"/>
    <w:lvl w:ilvl="0">
      <w:numFmt w:val="bullet"/>
      <w:lvlText w:val="▪"/>
      <w:pPr>
        <w:ind w:left="420" w:hanging="360"/>
      </w:pPr>
    </w:lvl>
  </w:abstractNum>
  <w:abstractNum w:abstractNumId="92">
    <w:multiLevelType w:val="singleLevel"/>
    <w:lvl w:ilvl="0">
      <w:numFmt w:val="bullet"/>
      <w:lvlText w:val="o"/>
      <w:pPr>
        <w:ind w:left="420" w:hanging="360"/>
      </w:pPr>
    </w:lvl>
  </w:abstractNum>
  <w:abstractNum w:abstractNumId="93">
    <w:multiLevelType w:val="singleLevel"/>
    <w:lvl w:ilvl="0">
      <w:start w:val="1"/>
      <w:numFmt w:val="upperLetter"/>
      <w:lvlText w:val="%1."/>
      <w:pPr>
        <w:ind w:left="420" w:hanging="360"/>
      </w:pPr>
    </w:lvl>
  </w:abstractNum>
  <w:abstractNum w:abstractNumId="94">
    <w:multiLevelType w:val="singleLevel"/>
    <w:lvl w:ilvl="0">
      <w:start w:val="1"/>
      <w:numFmt w:val="lowerLetter"/>
      <w:lvlText w:val="%1."/>
      <w:pPr>
        <w:ind w:left="420" w:hanging="360"/>
      </w:pPr>
    </w:lvl>
  </w:abstractNum>
  <w:abstractNum w:abstractNumId="95">
    <w:multiLevelType w:val="singleLevel"/>
    <w:lvl w:ilvl="0">
      <w:start w:val="1"/>
      <w:numFmt w:val="upperRoman"/>
      <w:lvlText w:val="%1."/>
      <w:pPr>
        <w:ind w:left="420" w:hanging="360"/>
      </w:pPr>
    </w:lvl>
  </w:abstractNum>
  <w:abstractNum w:abstractNumId="96">
    <w:multiLevelType w:val="singleLevel"/>
    <w:lvl w:ilvl="0">
      <w:start w:val="1"/>
      <w:numFmt w:val="lowerRoman"/>
      <w:lvlText w:val="%1."/>
      <w:pPr>
        <w:ind w:left="420" w:hanging="360"/>
      </w:pPr>
    </w:lvl>
  </w:abstractNum>
  <w:abstractNum w:abstractNumId="97">
    <w:multiLevelType w:val="singleLevel"/>
    <w:lvl w:ilvl="0">
      <w:start w:val="1"/>
      <w:numFmt w:val="decimal"/>
      <w:lvlText w:val="%1."/>
      <w:pPr>
        <w:ind w:left="420" w:hanging="360"/>
      </w:pPr>
    </w:lvl>
  </w:abstractNum>
  <w:abstractNum w:abstractNumId="98">
    <w:multiLevelType w:val="singleLevel"/>
    <w:lvl w:ilvl="0">
      <w:numFmt w:val="bullet"/>
      <w:lvlText w:val="•"/>
      <w:pPr>
        <w:ind w:left="420" w:hanging="360"/>
      </w:pPr>
    </w:lvl>
  </w:abstractNum>
  <w:abstractNum w:abstractNumId="99">
    <w:multiLevelType w:val="singleLevel"/>
    <w:lvl w:ilvl="0">
      <w:numFmt w:val="bullet"/>
      <w:lvlText w:val="▪"/>
      <w:pPr>
        <w:ind w:left="420" w:hanging="360"/>
      </w:pPr>
    </w:lvl>
  </w:abstractNum>
  <w:abstractNum w:abstractNumId="100">
    <w:multiLevelType w:val="singleLevel"/>
    <w:lvl w:ilvl="0">
      <w:numFmt w:val="bullet"/>
      <w:lvlText w:val="o"/>
      <w:pPr>
        <w:ind w:left="420" w:hanging="360"/>
      </w:pPr>
    </w:lvl>
  </w:abstractNum>
  <w:abstractNum w:abstractNumId="101">
    <w:multiLevelType w:val="singleLevel"/>
    <w:lvl w:ilvl="0">
      <w:start w:val="1"/>
      <w:numFmt w:val="upperLetter"/>
      <w:lvlText w:val="%1."/>
      <w:pPr>
        <w:ind w:left="420" w:hanging="360"/>
      </w:pPr>
    </w:lvl>
  </w:abstractNum>
  <w:abstractNum w:abstractNumId="102">
    <w:multiLevelType w:val="singleLevel"/>
    <w:lvl w:ilvl="0">
      <w:start w:val="1"/>
      <w:numFmt w:val="lowerLetter"/>
      <w:lvlText w:val="%1."/>
      <w:pPr>
        <w:ind w:left="420" w:hanging="360"/>
      </w:pPr>
    </w:lvl>
  </w:abstractNum>
  <w:abstractNum w:abstractNumId="103">
    <w:multiLevelType w:val="singleLevel"/>
    <w:lvl w:ilvl="0">
      <w:start w:val="1"/>
      <w:numFmt w:val="upperRoman"/>
      <w:lvlText w:val="%1."/>
      <w:pPr>
        <w:ind w:left="420" w:hanging="360"/>
      </w:pPr>
    </w:lvl>
  </w:abstractNum>
  <w:abstractNum w:abstractNumId="104">
    <w:multiLevelType w:val="singleLevel"/>
    <w:lvl w:ilvl="0">
      <w:start w:val="1"/>
      <w:numFmt w:val="lowerRoman"/>
      <w:lvlText w:val="%1."/>
      <w:pPr>
        <w:ind w:left="420" w:hanging="360"/>
      </w:pPr>
    </w:lvl>
  </w:abstractNum>
  <w:abstractNum w:abstractNumId="105">
    <w:multiLevelType w:val="singleLevel"/>
    <w:lvl w:ilvl="0">
      <w:start w:val="1"/>
      <w:numFmt w:val="decimal"/>
      <w:lvlText w:val="%1."/>
      <w:pPr>
        <w:ind w:left="420" w:hanging="360"/>
      </w:pPr>
    </w:lvl>
  </w:abstractNum>
  <w:abstractNum w:abstractNumId="106">
    <w:multiLevelType w:val="singleLevel"/>
    <w:lvl w:ilvl="0">
      <w:numFmt w:val="bullet"/>
      <w:lvlText w:val="•"/>
      <w:pPr>
        <w:ind w:left="420" w:hanging="360"/>
      </w:pPr>
    </w:lvl>
  </w:abstractNum>
  <w:abstractNum w:abstractNumId="107">
    <w:multiLevelType w:val="singleLevel"/>
    <w:lvl w:ilvl="0">
      <w:numFmt w:val="bullet"/>
      <w:lvlText w:val="▪"/>
      <w:pPr>
        <w:ind w:left="420" w:hanging="360"/>
      </w:pPr>
    </w:lvl>
  </w:abstractNum>
  <w:abstractNum w:abstractNumId="108">
    <w:multiLevelType w:val="singleLevel"/>
    <w:lvl w:ilvl="0">
      <w:numFmt w:val="bullet"/>
      <w:lvlText w:val="o"/>
      <w:pPr>
        <w:ind w:left="420" w:hanging="360"/>
      </w:pPr>
    </w:lvl>
  </w:abstractNum>
  <w:abstractNum w:abstractNumId="109">
    <w:multiLevelType w:val="singleLevel"/>
    <w:lvl w:ilvl="0">
      <w:start w:val="1"/>
      <w:numFmt w:val="upperLetter"/>
      <w:lvlText w:val="%1."/>
      <w:pPr>
        <w:ind w:left="420" w:hanging="360"/>
      </w:pPr>
    </w:lvl>
  </w:abstractNum>
  <w:abstractNum w:abstractNumId="110">
    <w:multiLevelType w:val="singleLevel"/>
    <w:lvl w:ilvl="0">
      <w:start w:val="1"/>
      <w:numFmt w:val="lowerLetter"/>
      <w:lvlText w:val="%1."/>
      <w:pPr>
        <w:ind w:left="420" w:hanging="360"/>
      </w:pPr>
    </w:lvl>
  </w:abstractNum>
  <w:abstractNum w:abstractNumId="111">
    <w:multiLevelType w:val="singleLevel"/>
    <w:lvl w:ilvl="0">
      <w:start w:val="1"/>
      <w:numFmt w:val="upperRoman"/>
      <w:lvlText w:val="%1."/>
      <w:pPr>
        <w:ind w:left="420" w:hanging="360"/>
      </w:pPr>
    </w:lvl>
  </w:abstractNum>
  <w:abstractNum w:abstractNumId="11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26"/>
    <w:lvlOverride w:ilvl="0">
      <w:startOverride w:val="1"/>
    </w:lvlOverride>
  </w:num>
  <w:num w:numId="14">
    <w:abstractNumId w:val="34"/>
    <w:lvlOverride w:ilvl="0">
      <w:startOverride w:val="1"/>
    </w:lvlOverride>
  </w:num>
  <w:num w:numId="15">
    <w:abstractNumId w:val="42"/>
    <w:lvlOverride w:ilvl="0">
      <w:startOverride w:val="1"/>
    </w:lvlOverride>
  </w:num>
  <w:num w:numId="16">
    <w:abstractNumId w:val="42"/>
    <w:lvlOverride w:ilvl="0">
      <w:startOverride w:val="1"/>
    </w:lvlOverride>
  </w:num>
  <w:num w:numId="17">
    <w:abstractNumId w:val="42"/>
    <w:lvlOverride w:ilvl="0">
      <w:startOverride w:val="1"/>
    </w:lvlOverride>
  </w:num>
  <w:num w:numId="18">
    <w:abstractNumId w:val="50"/>
    <w:lvlOverride w:ilvl="0">
      <w:startOverride w:val="1"/>
    </w:lvlOverride>
  </w:num>
  <w:num w:numId="19">
    <w:abstractNumId w:val="50"/>
    <w:lvlOverride w:ilvl="0">
      <w:startOverride w:val="1"/>
    </w:lvlOverride>
  </w:num>
  <w:num w:numId="20">
    <w:abstractNumId w:val="58"/>
    <w:lvlOverride w:ilvl="0">
      <w:startOverride w:val="1"/>
    </w:lvlOverride>
  </w:num>
  <w:num w:numId="21">
    <w:abstractNumId w:val="66"/>
    <w:lvlOverride w:ilvl="0">
      <w:startOverride w:val="1"/>
    </w:lvlOverride>
  </w:num>
  <w:num w:numId="22">
    <w:abstractNumId w:val="74"/>
    <w:lvlOverride w:ilvl="0">
      <w:startOverride w:val="1"/>
    </w:lvlOverride>
  </w:num>
  <w:num w:numId="23">
    <w:abstractNumId w:val="82"/>
    <w:lvlOverride w:ilvl="0">
      <w:startOverride w:val="1"/>
    </w:lvlOverride>
  </w:num>
  <w:num w:numId="24">
    <w:abstractNumId w:val="90"/>
    <w:lvlOverride w:ilvl="0">
      <w:startOverride w:val="1"/>
    </w:lvlOverride>
  </w:num>
  <w:num w:numId="25">
    <w:abstractNumId w:val="90"/>
    <w:lvlOverride w:ilvl="0">
      <w:startOverride w:val="1"/>
    </w:lvlOverride>
  </w:num>
  <w:num w:numId="26">
    <w:abstractNumId w:val="98"/>
    <w:lvlOverride w:ilvl="0">
      <w:startOverride w:val="1"/>
    </w:lvlOverride>
  </w:num>
  <w:num w:numId="27">
    <w:abstractNumId w:val="10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